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8"/>
        </w:rPr>
      </w:pPr>
    </w:p>
    <w:p>
      <w:pPr>
        <w:pStyle w:val="5"/>
        <w:spacing w:before="5"/>
        <w:rPr>
          <w:rFonts w:ascii="Times New Roman"/>
          <w:sz w:val="25"/>
        </w:rPr>
      </w:pPr>
    </w:p>
    <w:p>
      <w:pPr>
        <w:pStyle w:val="2"/>
        <w:spacing w:before="1"/>
      </w:pPr>
      <w:r>
        <w:rPr>
          <w:color w:val="0070C0"/>
        </w:rPr>
        <w:t>产品简介</w:t>
      </w:r>
    </w:p>
    <w:p>
      <w:pPr>
        <w:spacing w:before="113"/>
        <w:ind w:left="147" w:right="0" w:firstLine="0"/>
        <w:jc w:val="left"/>
        <w:rPr>
          <w:b/>
          <w:sz w:val="36"/>
        </w:rPr>
      </w:pPr>
      <w:r>
        <w:br w:type="column"/>
      </w:r>
      <w:r>
        <w:rPr>
          <w:b/>
          <w:sz w:val="36"/>
        </w:rPr>
        <w:t>miRNA 产品使用说明</w:t>
      </w:r>
    </w:p>
    <w:p>
      <w:pPr>
        <w:spacing w:after="0"/>
        <w:jc w:val="left"/>
        <w:rPr>
          <w:sz w:val="36"/>
        </w:rPr>
        <w:sectPr>
          <w:headerReference r:id="rId3" w:type="default"/>
          <w:footerReference r:id="rId4" w:type="default"/>
          <w:type w:val="continuous"/>
          <w:pgSz w:w="11910" w:h="16840"/>
          <w:pgMar w:top="1040" w:right="360" w:bottom="1300" w:left="420" w:header="215" w:footer="1104" w:gutter="0"/>
          <w:cols w:equalWidth="0" w:num="2">
            <w:col w:w="1313" w:space="2491"/>
            <w:col w:w="7326"/>
          </w:cols>
        </w:sectPr>
      </w:pPr>
    </w:p>
    <w:p>
      <w:pPr>
        <w:pStyle w:val="5"/>
        <w:spacing w:before="21"/>
        <w:ind w:left="567"/>
      </w:pPr>
      <w:r>
        <w:pict>
          <v:line id="_x0000_s1026" o:spid="_x0000_s1026" o:spt="20" style="position:absolute;left:0pt;margin-left:26.85pt;margin-top:53.9pt;height:0pt;width:541.65pt;mso-position-horizontal-relative:page;mso-position-vertical-relative:page;z-index:25165824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</v:line>
        </w:pict>
      </w:r>
      <w:r>
        <w:rPr>
          <w:rFonts w:ascii="Arial" w:eastAsia="Arial"/>
        </w:rPr>
        <w:t xml:space="preserve">miRNA mimic </w:t>
      </w:r>
      <w:r>
        <w:t xml:space="preserve">是 </w:t>
      </w:r>
      <w:r>
        <w:rPr>
          <w:rFonts w:ascii="Arial" w:eastAsia="Arial"/>
        </w:rPr>
        <w:t xml:space="preserve">miRNA </w:t>
      </w:r>
      <w:r>
        <w:t xml:space="preserve">模拟物，化学合成的成熟 </w:t>
      </w:r>
      <w:r>
        <w:rPr>
          <w:rFonts w:ascii="Arial" w:eastAsia="Arial"/>
        </w:rPr>
        <w:t xml:space="preserve">miRNA </w:t>
      </w:r>
      <w:r>
        <w:t>双链，产品为冻干粉形式的即用型试剂；</w:t>
      </w:r>
    </w:p>
    <w:p>
      <w:pPr>
        <w:pStyle w:val="5"/>
        <w:spacing w:before="44"/>
        <w:ind w:left="567"/>
      </w:pPr>
      <w:r>
        <w:rPr>
          <w:rFonts w:ascii="Arial" w:eastAsia="Arial"/>
        </w:rPr>
        <w:t xml:space="preserve">miRNA inhibitor </w:t>
      </w:r>
      <w:r>
        <w:t xml:space="preserve">是 </w:t>
      </w:r>
      <w:r>
        <w:rPr>
          <w:rFonts w:ascii="Arial" w:eastAsia="Arial"/>
        </w:rPr>
        <w:t xml:space="preserve">miRNA </w:t>
      </w:r>
      <w:r>
        <w:t xml:space="preserve">抑制物，化学修饰的成熟 </w:t>
      </w:r>
      <w:r>
        <w:rPr>
          <w:rFonts w:ascii="Arial" w:eastAsia="Arial"/>
        </w:rPr>
        <w:t xml:space="preserve">miRNA </w:t>
      </w:r>
      <w:r>
        <w:t>互补单链，产品为冻干粉形式的即用型试剂；</w:t>
      </w:r>
    </w:p>
    <w:p>
      <w:pPr>
        <w:pStyle w:val="5"/>
        <w:spacing w:before="43"/>
        <w:ind w:left="567"/>
      </w:pPr>
      <w:r>
        <w:rPr>
          <w:rFonts w:ascii="Arial" w:eastAsia="Arial"/>
        </w:rPr>
        <w:t>miRNA</w:t>
      </w:r>
      <w:r>
        <w:rPr>
          <w:rFonts w:ascii="Arial" w:eastAsia="Arial"/>
          <w:spacing w:val="-14"/>
        </w:rPr>
        <w:t xml:space="preserve"> </w:t>
      </w:r>
      <w:r>
        <w:rPr>
          <w:rFonts w:ascii="Arial" w:eastAsia="Arial"/>
        </w:rPr>
        <w:t>agomir</w:t>
      </w:r>
      <w:r>
        <w:rPr>
          <w:rFonts w:ascii="Arial" w:eastAsia="Arial"/>
          <w:spacing w:val="41"/>
        </w:rPr>
        <w:t xml:space="preserve"> </w:t>
      </w:r>
      <w:r>
        <w:rPr>
          <w:spacing w:val="-6"/>
        </w:rPr>
        <w:t xml:space="preserve">是特殊化学修饰的 </w:t>
      </w:r>
      <w:r>
        <w:rPr>
          <w:rFonts w:ascii="Arial" w:eastAsia="Arial"/>
        </w:rPr>
        <w:t>miRNA</w:t>
      </w:r>
      <w:r>
        <w:rPr>
          <w:rFonts w:ascii="Arial" w:eastAsia="Arial"/>
          <w:spacing w:val="29"/>
        </w:rPr>
        <w:t xml:space="preserve"> </w:t>
      </w:r>
      <w:r>
        <w:t>激动剂，适用于细胞实验、动物实验，产品为冻干粉形式的即用型试剂；</w:t>
      </w:r>
    </w:p>
    <w:p>
      <w:pPr>
        <w:pStyle w:val="5"/>
        <w:spacing w:before="44"/>
        <w:ind w:left="567"/>
      </w:pPr>
      <w:r>
        <w:rPr>
          <w:rFonts w:ascii="Arial" w:eastAsia="Arial"/>
        </w:rPr>
        <w:t>miRNA</w:t>
      </w:r>
      <w:r>
        <w:rPr>
          <w:rFonts w:ascii="Arial" w:eastAsia="Arial"/>
          <w:spacing w:val="-16"/>
        </w:rPr>
        <w:t xml:space="preserve"> </w:t>
      </w:r>
      <w:r>
        <w:rPr>
          <w:rFonts w:ascii="Arial" w:eastAsia="Arial"/>
        </w:rPr>
        <w:t>antagomir</w:t>
      </w:r>
      <w:r>
        <w:rPr>
          <w:rFonts w:ascii="Arial" w:eastAsia="Arial"/>
          <w:spacing w:val="-8"/>
        </w:rPr>
        <w:t xml:space="preserve"> </w:t>
      </w:r>
      <w:r>
        <w:rPr>
          <w:spacing w:val="-6"/>
        </w:rPr>
        <w:t xml:space="preserve">是特殊化学修饰的 </w:t>
      </w:r>
      <w:r>
        <w:rPr>
          <w:rFonts w:ascii="Arial" w:eastAsia="Arial"/>
        </w:rPr>
        <w:t>miRNA</w:t>
      </w:r>
      <w:r>
        <w:rPr>
          <w:rFonts w:ascii="Arial" w:eastAsia="Arial"/>
          <w:spacing w:val="26"/>
        </w:rPr>
        <w:t xml:space="preserve"> </w:t>
      </w:r>
      <w:r>
        <w:t>拮抗剂，适用于细胞实验、动物实验，产品为冻干粉形式的即用型试剂</w:t>
      </w:r>
    </w:p>
    <w:p>
      <w:pPr>
        <w:pStyle w:val="5"/>
        <w:spacing w:before="7"/>
      </w:pPr>
    </w:p>
    <w:p>
      <w:pPr>
        <w:pStyle w:val="2"/>
        <w:spacing w:before="1"/>
      </w:pPr>
      <w:r>
        <w:rPr>
          <w:color w:val="0070C0"/>
        </w:rPr>
        <w:t>运输保存</w:t>
      </w:r>
    </w:p>
    <w:p>
      <w:pPr>
        <w:pStyle w:val="5"/>
        <w:spacing w:before="21"/>
        <w:ind w:left="447"/>
      </w:pPr>
      <w:r>
        <w:t>产品以冻干粉的形式常温运输。收到产品后，请于</w:t>
      </w:r>
      <w:r>
        <w:rPr>
          <w:rFonts w:ascii="Arial" w:hAnsi="Arial" w:eastAsia="Arial"/>
        </w:rPr>
        <w:t>-20</w:t>
      </w:r>
      <w:r>
        <w:rPr>
          <w:rFonts w:hint="eastAsia" w:ascii="宋体" w:hAnsi="宋体" w:eastAsia="宋体"/>
        </w:rPr>
        <w:t>℃</w:t>
      </w:r>
      <w:r>
        <w:t>～</w:t>
      </w:r>
      <w:r>
        <w:rPr>
          <w:rFonts w:ascii="Arial" w:hAnsi="Arial" w:eastAsia="Arial"/>
        </w:rPr>
        <w:t>-80</w:t>
      </w:r>
      <w:r>
        <w:rPr>
          <w:rFonts w:hint="eastAsia" w:ascii="宋体" w:hAnsi="宋体" w:eastAsia="宋体"/>
        </w:rPr>
        <w:t>℃</w:t>
      </w:r>
      <w:r>
        <w:t>保存，冻干粉可以稳定保存一年。</w:t>
      </w:r>
    </w:p>
    <w:p>
      <w:pPr>
        <w:pStyle w:val="5"/>
        <w:spacing w:before="44"/>
        <w:ind w:left="447"/>
      </w:pPr>
      <w:r>
        <w:rPr>
          <w:spacing w:val="-11"/>
        </w:rPr>
        <w:t xml:space="preserve">使用前瞬时离心，用 </w:t>
      </w:r>
      <w:r>
        <w:rPr>
          <w:rFonts w:ascii="Arial" w:hAnsi="Arial" w:eastAsia="Arial"/>
        </w:rPr>
        <w:t>RNase-free H</w:t>
      </w:r>
      <w:r>
        <w:rPr>
          <w:rFonts w:ascii="Arial" w:hAnsi="Arial" w:eastAsia="Arial"/>
          <w:vertAlign w:val="subscript"/>
        </w:rPr>
        <w:t>2</w:t>
      </w:r>
      <w:r>
        <w:rPr>
          <w:rFonts w:ascii="Arial" w:hAnsi="Arial" w:eastAsia="Arial"/>
          <w:vertAlign w:val="baseline"/>
        </w:rPr>
        <w:t xml:space="preserve">O </w:t>
      </w:r>
      <w:r>
        <w:rPr>
          <w:spacing w:val="-13"/>
          <w:vertAlign w:val="baseline"/>
        </w:rPr>
        <w:t xml:space="preserve">或灭菌 </w:t>
      </w:r>
      <w:r>
        <w:rPr>
          <w:rFonts w:ascii="Arial" w:hAnsi="Arial" w:eastAsia="Arial"/>
          <w:vertAlign w:val="baseline"/>
        </w:rPr>
        <w:t>ddH</w:t>
      </w:r>
      <w:r>
        <w:rPr>
          <w:rFonts w:ascii="Arial" w:hAnsi="Arial" w:eastAsia="Arial"/>
          <w:vertAlign w:val="subscript"/>
        </w:rPr>
        <w:t>2</w:t>
      </w:r>
      <w:r>
        <w:rPr>
          <w:rFonts w:ascii="Arial" w:hAnsi="Arial" w:eastAsia="Arial"/>
          <w:vertAlign w:val="baseline"/>
        </w:rPr>
        <w:t xml:space="preserve">O </w:t>
      </w:r>
      <w:r>
        <w:rPr>
          <w:spacing w:val="-13"/>
          <w:vertAlign w:val="baseline"/>
        </w:rPr>
        <w:t xml:space="preserve">配制成 </w:t>
      </w:r>
      <w:r>
        <w:rPr>
          <w:rFonts w:ascii="Arial" w:hAnsi="Arial" w:eastAsia="Arial"/>
          <w:vertAlign w:val="baseline"/>
        </w:rPr>
        <w:t xml:space="preserve">20μM </w:t>
      </w:r>
      <w:r>
        <w:rPr>
          <w:spacing w:val="-13"/>
          <w:vertAlign w:val="baseline"/>
        </w:rPr>
        <w:t>储存液，分装保存，避免反复冻融</w:t>
      </w:r>
      <w:r>
        <w:rPr>
          <w:vertAlign w:val="baseline"/>
        </w:rPr>
        <w:t>（</w:t>
      </w:r>
      <w:r>
        <w:rPr>
          <w:spacing w:val="-9"/>
          <w:vertAlign w:val="baseline"/>
        </w:rPr>
        <w:t xml:space="preserve">建议不超过 </w:t>
      </w:r>
      <w:r>
        <w:rPr>
          <w:vertAlign w:val="baseline"/>
        </w:rPr>
        <w:t>5</w:t>
      </w:r>
      <w:r>
        <w:rPr>
          <w:spacing w:val="-26"/>
          <w:vertAlign w:val="baseline"/>
        </w:rPr>
        <w:t xml:space="preserve"> 次</w:t>
      </w:r>
      <w:r>
        <w:rPr>
          <w:spacing w:val="-101"/>
          <w:vertAlign w:val="baseline"/>
        </w:rPr>
        <w:t>）</w:t>
      </w:r>
      <w:r>
        <w:rPr>
          <w:vertAlign w:val="baseline"/>
        </w:rPr>
        <w:t>。</w:t>
      </w:r>
    </w:p>
    <w:p>
      <w:pPr>
        <w:tabs>
          <w:tab w:val="left" w:pos="4652"/>
        </w:tabs>
        <w:spacing w:before="33" w:after="11"/>
        <w:ind w:left="4071" w:right="0" w:firstLine="0"/>
        <w:jc w:val="left"/>
        <w:rPr>
          <w:sz w:val="21"/>
        </w:rPr>
      </w:pPr>
      <w:r>
        <w:rPr>
          <w:b/>
          <w:sz w:val="21"/>
        </w:rPr>
        <w:t>表</w:t>
      </w:r>
      <w:r>
        <w:rPr>
          <w:b/>
          <w:spacing w:val="-53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</w:r>
      <w:r>
        <w:rPr>
          <w:sz w:val="21"/>
        </w:rPr>
        <w:t>20</w:t>
      </w:r>
      <w:r>
        <w:rPr>
          <w:spacing w:val="1"/>
          <w:sz w:val="21"/>
        </w:rPr>
        <w:t xml:space="preserve"> </w:t>
      </w:r>
      <w:r>
        <w:rPr>
          <w:rFonts w:ascii="Arial" w:hAnsi="Arial" w:eastAsia="Arial"/>
          <w:sz w:val="21"/>
        </w:rPr>
        <w:t>μM</w:t>
      </w:r>
      <w:r>
        <w:rPr>
          <w:rFonts w:ascii="Arial" w:hAnsi="Arial" w:eastAsia="Arial"/>
          <w:spacing w:val="-6"/>
          <w:sz w:val="21"/>
        </w:rPr>
        <w:t xml:space="preserve"> </w:t>
      </w:r>
      <w:r>
        <w:rPr>
          <w:sz w:val="21"/>
        </w:rPr>
        <w:t>储存液的配置方法</w:t>
      </w:r>
    </w:p>
    <w:tbl>
      <w:tblPr>
        <w:tblStyle w:val="6"/>
        <w:tblW w:w="0" w:type="auto"/>
        <w:tblInd w:w="1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409"/>
        <w:gridCol w:w="1512"/>
        <w:gridCol w:w="1544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8" w:type="dxa"/>
            <w:shd w:val="clear" w:color="auto" w:fill="4BACC6"/>
          </w:tcPr>
          <w:p>
            <w:pPr>
              <w:pStyle w:val="10"/>
              <w:spacing w:before="40" w:line="250" w:lineRule="exact"/>
              <w:ind w:left="117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miRNA(nmol)</w:t>
            </w:r>
          </w:p>
        </w:tc>
        <w:tc>
          <w:tcPr>
            <w:tcW w:w="1409" w:type="dxa"/>
            <w:shd w:val="clear" w:color="auto" w:fill="4BACC6"/>
          </w:tcPr>
          <w:p>
            <w:pPr>
              <w:pStyle w:val="10"/>
              <w:spacing w:before="40" w:line="250" w:lineRule="exact"/>
              <w:ind w:left="534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2.5</w:t>
            </w:r>
          </w:p>
        </w:tc>
        <w:tc>
          <w:tcPr>
            <w:tcW w:w="1512" w:type="dxa"/>
            <w:shd w:val="clear" w:color="auto" w:fill="4BACC6"/>
          </w:tcPr>
          <w:p>
            <w:pPr>
              <w:pStyle w:val="10"/>
              <w:spacing w:before="40" w:line="250" w:lineRule="exact"/>
              <w:ind w:left="0" w:right="37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5</w:t>
            </w:r>
          </w:p>
        </w:tc>
        <w:tc>
          <w:tcPr>
            <w:tcW w:w="1544" w:type="dxa"/>
            <w:shd w:val="clear" w:color="auto" w:fill="4BACC6"/>
          </w:tcPr>
          <w:p>
            <w:pPr>
              <w:pStyle w:val="10"/>
              <w:spacing w:before="40" w:line="250" w:lineRule="exact"/>
              <w:ind w:left="616" w:right="570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10</w:t>
            </w:r>
          </w:p>
        </w:tc>
        <w:tc>
          <w:tcPr>
            <w:tcW w:w="1597" w:type="dxa"/>
            <w:shd w:val="clear" w:color="auto" w:fill="4BACC6"/>
          </w:tcPr>
          <w:p>
            <w:pPr>
              <w:pStyle w:val="10"/>
              <w:spacing w:before="40" w:line="250" w:lineRule="exact"/>
              <w:ind w:left="696" w:right="651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88" w:type="dxa"/>
            <w:tcBorders>
              <w:left w:val="single" w:color="4BACC6" w:sz="8" w:space="0"/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rPr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溶解体积</w:t>
            </w:r>
            <w:r>
              <w:rPr>
                <w:sz w:val="21"/>
              </w:rPr>
              <w:t>(μl)</w:t>
            </w:r>
          </w:p>
        </w:tc>
        <w:tc>
          <w:tcPr>
            <w:tcW w:w="1409" w:type="dxa"/>
            <w:tcBorders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ind w:left="533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125</w:t>
            </w:r>
          </w:p>
        </w:tc>
        <w:tc>
          <w:tcPr>
            <w:tcW w:w="1512" w:type="dxa"/>
            <w:tcBorders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ind w:left="559" w:right="597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250</w:t>
            </w:r>
          </w:p>
        </w:tc>
        <w:tc>
          <w:tcPr>
            <w:tcW w:w="1544" w:type="dxa"/>
            <w:tcBorders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ind w:left="616" w:right="572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500</w:t>
            </w:r>
          </w:p>
        </w:tc>
        <w:tc>
          <w:tcPr>
            <w:tcW w:w="1597" w:type="dxa"/>
            <w:tcBorders>
              <w:bottom w:val="single" w:color="4BACC6" w:sz="8" w:space="0"/>
              <w:right w:val="single" w:color="4BACC6" w:sz="8" w:space="0"/>
            </w:tcBorders>
          </w:tcPr>
          <w:p>
            <w:pPr>
              <w:pStyle w:val="10"/>
              <w:spacing w:before="49" w:line="251" w:lineRule="exact"/>
              <w:ind w:left="590" w:right="537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2500</w:t>
            </w:r>
          </w:p>
        </w:tc>
      </w:tr>
    </w:tbl>
    <w:p>
      <w:pPr>
        <w:spacing w:before="40"/>
        <w:ind w:left="1647" w:right="0" w:firstLine="0"/>
        <w:jc w:val="left"/>
        <w:rPr>
          <w:rFonts w:ascii="Arial" w:hAnsi="Arial" w:eastAsia="Arial"/>
          <w:sz w:val="18"/>
        </w:rPr>
      </w:pPr>
      <w:r>
        <w:rPr>
          <w:sz w:val="20"/>
        </w:rPr>
        <w:t>注：</w:t>
      </w:r>
      <w:r>
        <w:rPr>
          <w:rFonts w:ascii="Arial" w:hAnsi="Arial" w:eastAsia="Arial"/>
          <w:sz w:val="18"/>
        </w:rPr>
        <w:t>1OD duplex=2.5nmols=40μg</w:t>
      </w:r>
    </w:p>
    <w:p>
      <w:pPr>
        <w:pStyle w:val="4"/>
        <w:spacing w:before="33"/>
        <w:ind w:left="147" w:firstLine="0"/>
      </w:pPr>
      <w:r>
        <w:t>使用须知：</w:t>
      </w:r>
    </w:p>
    <w:p>
      <w:pPr>
        <w:pStyle w:val="9"/>
        <w:numPr>
          <w:ilvl w:val="0"/>
          <w:numId w:val="1"/>
        </w:numPr>
        <w:tabs>
          <w:tab w:val="left" w:pos="928"/>
        </w:tabs>
        <w:spacing w:before="41" w:after="0" w:line="280" w:lineRule="auto"/>
        <w:ind w:left="927" w:right="201" w:hanging="360"/>
        <w:jc w:val="left"/>
        <w:rPr>
          <w:sz w:val="20"/>
        </w:rPr>
      </w:pP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6"/>
          <w:sz w:val="20"/>
        </w:rPr>
        <w:t xml:space="preserve"> </w:t>
      </w:r>
      <w:r>
        <w:rPr>
          <w:spacing w:val="-1"/>
          <w:sz w:val="20"/>
        </w:rPr>
        <w:t xml:space="preserve">产品呈很轻的干膜状附在管壁上，打开管子前先离心，然后再慢慢打开管盖，溶解时请加足量 </w:t>
      </w:r>
      <w:r>
        <w:rPr>
          <w:rFonts w:ascii="Arial" w:eastAsia="Arial"/>
          <w:sz w:val="20"/>
        </w:rPr>
        <w:t>RNase-free H</w:t>
      </w:r>
      <w:r>
        <w:rPr>
          <w:rFonts w:ascii="Arial" w:eastAsia="Arial"/>
          <w:sz w:val="20"/>
          <w:vertAlign w:val="subscript"/>
        </w:rPr>
        <w:t>2</w:t>
      </w:r>
      <w:r>
        <w:rPr>
          <w:rFonts w:ascii="Arial" w:eastAsia="Arial"/>
          <w:sz w:val="20"/>
          <w:vertAlign w:val="baseline"/>
        </w:rPr>
        <w:t>O</w:t>
      </w:r>
      <w:r>
        <w:rPr>
          <w:rFonts w:ascii="Arial" w:eastAsia="Arial"/>
          <w:spacing w:val="-7"/>
          <w:sz w:val="20"/>
          <w:vertAlign w:val="baseline"/>
        </w:rPr>
        <w:t xml:space="preserve"> </w:t>
      </w:r>
      <w:r>
        <w:rPr>
          <w:spacing w:val="-13"/>
          <w:sz w:val="20"/>
          <w:vertAlign w:val="baseline"/>
        </w:rPr>
        <w:t xml:space="preserve">或灭菌 </w:t>
      </w:r>
      <w:r>
        <w:rPr>
          <w:rFonts w:ascii="Arial" w:eastAsia="Arial"/>
          <w:sz w:val="20"/>
          <w:vertAlign w:val="baseline"/>
        </w:rPr>
        <w:t>ddH</w:t>
      </w:r>
      <w:r>
        <w:rPr>
          <w:rFonts w:ascii="Arial" w:eastAsia="Arial"/>
          <w:sz w:val="20"/>
          <w:vertAlign w:val="subscript"/>
        </w:rPr>
        <w:t>2</w:t>
      </w:r>
      <w:r>
        <w:rPr>
          <w:rFonts w:ascii="Arial" w:eastAsia="Arial"/>
          <w:sz w:val="20"/>
          <w:vertAlign w:val="baseline"/>
        </w:rPr>
        <w:t>O</w:t>
      </w:r>
      <w:r>
        <w:rPr>
          <w:rFonts w:ascii="Arial" w:eastAsia="Arial"/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后盖上管盖，震荡溶解。</w:t>
      </w:r>
    </w:p>
    <w:p>
      <w:pPr>
        <w:pStyle w:val="9"/>
        <w:numPr>
          <w:ilvl w:val="0"/>
          <w:numId w:val="1"/>
        </w:numPr>
        <w:tabs>
          <w:tab w:val="left" w:pos="928"/>
          <w:tab w:val="left" w:pos="3828"/>
        </w:tabs>
        <w:spacing w:before="1" w:after="0" w:line="280" w:lineRule="auto"/>
        <w:ind w:left="927" w:right="199" w:hanging="360"/>
        <w:jc w:val="left"/>
        <w:rPr>
          <w:sz w:val="20"/>
        </w:rPr>
      </w:pPr>
      <w:r>
        <w:rPr>
          <w:sz w:val="20"/>
        </w:rPr>
        <w:t>为避免外界因素(包括酶，极端</w:t>
      </w:r>
      <w:r>
        <w:rPr>
          <w:sz w:val="20"/>
        </w:rPr>
        <w:tab/>
      </w:r>
      <w:r>
        <w:rPr>
          <w:sz w:val="20"/>
        </w:rPr>
        <w:t>pH</w:t>
      </w:r>
      <w:r>
        <w:rPr>
          <w:spacing w:val="-3"/>
          <w:sz w:val="20"/>
        </w:rPr>
        <w:t xml:space="preserve"> </w:t>
      </w:r>
      <w:r>
        <w:rPr>
          <w:sz w:val="20"/>
        </w:rPr>
        <w:t>或者温度条件等)导致产品降解，所有操作请严格遵循</w:t>
      </w:r>
      <w:r>
        <w:rPr>
          <w:spacing w:val="-8"/>
          <w:sz w:val="20"/>
        </w:rPr>
        <w:t xml:space="preserve"> </w:t>
      </w:r>
      <w:r>
        <w:rPr>
          <w:sz w:val="20"/>
        </w:rPr>
        <w:t>RNA</w:t>
      </w:r>
      <w:r>
        <w:rPr>
          <w:spacing w:val="-5"/>
          <w:sz w:val="20"/>
        </w:rPr>
        <w:t xml:space="preserve"> </w:t>
      </w:r>
      <w:r>
        <w:rPr>
          <w:sz w:val="20"/>
        </w:rPr>
        <w:t>操作规则。实验过程中，产品最好于冰上放置，使用完毕后请于</w:t>
      </w:r>
      <w:r>
        <w:rPr>
          <w:rFonts w:ascii="Arial" w:hAnsi="Arial" w:eastAsia="Arial"/>
          <w:sz w:val="20"/>
        </w:rPr>
        <w:t>-20</w:t>
      </w:r>
      <w:r>
        <w:rPr>
          <w:rFonts w:hint="eastAsia" w:ascii="宋体" w:hAnsi="宋体" w:eastAsia="宋体"/>
          <w:sz w:val="20"/>
        </w:rPr>
        <w:t>℃</w:t>
      </w:r>
      <w:r>
        <w:rPr>
          <w:sz w:val="20"/>
        </w:rPr>
        <w:t>～</w:t>
      </w:r>
      <w:r>
        <w:rPr>
          <w:rFonts w:ascii="Arial" w:hAnsi="Arial" w:eastAsia="Arial"/>
          <w:sz w:val="20"/>
        </w:rPr>
        <w:t>-80</w:t>
      </w:r>
      <w:r>
        <w:rPr>
          <w:rFonts w:hint="eastAsia" w:ascii="宋体" w:hAnsi="宋体" w:eastAsia="宋体"/>
          <w:sz w:val="20"/>
        </w:rPr>
        <w:t>℃</w:t>
      </w:r>
      <w:r>
        <w:rPr>
          <w:sz w:val="20"/>
        </w:rPr>
        <w:t>小心保存。</w:t>
      </w:r>
    </w:p>
    <w:p>
      <w:pPr>
        <w:pStyle w:val="5"/>
        <w:spacing w:before="2"/>
        <w:rPr>
          <w:sz w:val="17"/>
        </w:rPr>
      </w:pPr>
    </w:p>
    <w:p>
      <w:pPr>
        <w:pStyle w:val="2"/>
      </w:pPr>
      <w:r>
        <w:rPr>
          <w:color w:val="0070C0"/>
        </w:rPr>
        <w:t>细胞实验方法：</w:t>
      </w:r>
    </w:p>
    <w:p>
      <w:pPr>
        <w:pStyle w:val="5"/>
        <w:spacing w:before="22"/>
        <w:ind w:left="567"/>
      </w:pPr>
      <w:r>
        <w:t>为了降低细胞密度、试剂用量，转染效率等因素导致的孔间差异，保证实验的可靠性和可重复性,Biomics 建议：</w:t>
      </w:r>
    </w:p>
    <w:p>
      <w:pPr>
        <w:pStyle w:val="9"/>
        <w:numPr>
          <w:ilvl w:val="0"/>
          <w:numId w:val="2"/>
        </w:numPr>
        <w:tabs>
          <w:tab w:val="left" w:pos="928"/>
        </w:tabs>
        <w:spacing w:before="43" w:after="0" w:line="240" w:lineRule="auto"/>
        <w:ind w:left="927" w:right="0" w:hanging="361"/>
        <w:jc w:val="left"/>
        <w:rPr>
          <w:sz w:val="20"/>
        </w:rPr>
      </w:pPr>
      <w:r>
        <w:rPr>
          <w:spacing w:val="-4"/>
          <w:sz w:val="20"/>
        </w:rPr>
        <w:t xml:space="preserve">转染实验中每个转染样品至少设置 </w:t>
      </w:r>
      <w:r>
        <w:rPr>
          <w:rFonts w:ascii="Arial" w:eastAsia="Arial"/>
          <w:sz w:val="20"/>
        </w:rPr>
        <w:t>3</w:t>
      </w:r>
      <w:r>
        <w:rPr>
          <w:rFonts w:ascii="Arial" w:eastAsia="Arial"/>
          <w:spacing w:val="-6"/>
          <w:sz w:val="20"/>
        </w:rPr>
        <w:t xml:space="preserve"> </w:t>
      </w:r>
      <w:r>
        <w:rPr>
          <w:sz w:val="20"/>
        </w:rPr>
        <w:t>个复孔；</w:t>
      </w:r>
    </w:p>
    <w:p>
      <w:pPr>
        <w:pStyle w:val="9"/>
        <w:numPr>
          <w:ilvl w:val="0"/>
          <w:numId w:val="2"/>
        </w:numPr>
        <w:tabs>
          <w:tab w:val="left" w:pos="928"/>
        </w:tabs>
        <w:spacing w:before="44" w:after="0" w:line="240" w:lineRule="auto"/>
        <w:ind w:left="927" w:right="0" w:hanging="361"/>
        <w:jc w:val="left"/>
        <w:rPr>
          <w:sz w:val="20"/>
        </w:rPr>
      </w:pPr>
      <w:r>
        <w:rPr>
          <w:sz w:val="20"/>
        </w:rPr>
        <w:t>接种细胞时，每孔接种的细胞数量尽量保持一致，尽量使细胞在各孔的表面平均分布。</w:t>
      </w:r>
    </w:p>
    <w:p>
      <w:pPr>
        <w:pStyle w:val="4"/>
        <w:numPr>
          <w:ilvl w:val="0"/>
          <w:numId w:val="3"/>
        </w:numPr>
        <w:tabs>
          <w:tab w:val="left" w:pos="718"/>
        </w:tabs>
        <w:spacing w:before="34" w:after="0" w:line="240" w:lineRule="auto"/>
        <w:ind w:left="717" w:right="0" w:hanging="361"/>
        <w:jc w:val="left"/>
      </w:pPr>
      <w:r>
        <w:t>转染浓度：</w:t>
      </w:r>
    </w:p>
    <w:p>
      <w:pPr>
        <w:pStyle w:val="9"/>
        <w:numPr>
          <w:ilvl w:val="1"/>
          <w:numId w:val="3"/>
        </w:numPr>
        <w:tabs>
          <w:tab w:val="left" w:pos="987"/>
          <w:tab w:val="left" w:pos="988"/>
        </w:tabs>
        <w:spacing w:before="41" w:after="0" w:line="280" w:lineRule="auto"/>
        <w:ind w:left="987" w:right="101" w:hanging="420"/>
        <w:jc w:val="left"/>
        <w:rPr>
          <w:sz w:val="20"/>
        </w:rPr>
      </w:pPr>
      <w:r>
        <w:rPr>
          <w:spacing w:val="-7"/>
          <w:sz w:val="20"/>
        </w:rPr>
        <w:t xml:space="preserve">为了获得最佳基因阻断结果，每一种细胞系转染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11"/>
          <w:sz w:val="20"/>
        </w:rPr>
        <w:t xml:space="preserve"> </w:t>
      </w:r>
      <w:r>
        <w:rPr>
          <w:spacing w:val="-5"/>
          <w:sz w:val="20"/>
        </w:rPr>
        <w:t xml:space="preserve">的量都需要经过实验确定。如果您是首次转染您的细胞系， </w:t>
      </w:r>
      <w:r>
        <w:rPr>
          <w:spacing w:val="-11"/>
          <w:sz w:val="20"/>
        </w:rPr>
        <w:t xml:space="preserve">推荐尝试使用几个 </w:t>
      </w:r>
      <w:r>
        <w:rPr>
          <w:rFonts w:ascii="Arial" w:eastAsia="Arial"/>
          <w:sz w:val="20"/>
        </w:rPr>
        <w:t>Lipofectamine</w:t>
      </w:r>
      <w:r>
        <w:rPr>
          <w:rFonts w:ascii="Arial" w:eastAsia="Arial"/>
          <w:sz w:val="20"/>
          <w:vertAlign w:val="superscript"/>
        </w:rPr>
        <w:t>TM</w:t>
      </w:r>
      <w:r>
        <w:rPr>
          <w:rFonts w:ascii="Arial" w:eastAsia="Arial"/>
          <w:spacing w:val="-11"/>
          <w:sz w:val="20"/>
          <w:vertAlign w:val="baseline"/>
        </w:rPr>
        <w:t xml:space="preserve"> </w:t>
      </w:r>
      <w:r>
        <w:rPr>
          <w:sz w:val="20"/>
          <w:vertAlign w:val="baseline"/>
        </w:rPr>
        <w:t>2000</w:t>
      </w:r>
      <w:r>
        <w:rPr>
          <w:spacing w:val="-20"/>
          <w:sz w:val="20"/>
          <w:vertAlign w:val="baseline"/>
        </w:rPr>
        <w:t xml:space="preserve"> 的浓度，并在 </w:t>
      </w:r>
      <w:r>
        <w:rPr>
          <w:sz w:val="20"/>
          <w:vertAlign w:val="baseline"/>
        </w:rPr>
        <w:t>20-100nM</w:t>
      </w:r>
      <w:r>
        <w:rPr>
          <w:spacing w:val="-17"/>
          <w:sz w:val="20"/>
          <w:vertAlign w:val="baseline"/>
        </w:rPr>
        <w:t xml:space="preserve"> 范围内改变 </w:t>
      </w:r>
      <w:r>
        <w:rPr>
          <w:rFonts w:ascii="Arial" w:eastAsia="Arial"/>
          <w:sz w:val="20"/>
          <w:vertAlign w:val="baseline"/>
        </w:rPr>
        <w:t>miRNA</w:t>
      </w:r>
      <w:r>
        <w:rPr>
          <w:rFonts w:ascii="Arial" w:eastAsia="Arial"/>
          <w:spacing w:val="-10"/>
          <w:sz w:val="20"/>
          <w:vertAlign w:val="baseline"/>
        </w:rPr>
        <w:t xml:space="preserve"> </w:t>
      </w:r>
      <w:r>
        <w:rPr>
          <w:spacing w:val="-6"/>
          <w:sz w:val="20"/>
          <w:vertAlign w:val="baseline"/>
        </w:rPr>
        <w:t>的浓度，以确定达到最佳基因</w:t>
      </w:r>
      <w:r>
        <w:rPr>
          <w:spacing w:val="-9"/>
          <w:sz w:val="20"/>
          <w:vertAlign w:val="baseline"/>
        </w:rPr>
        <w:t xml:space="preserve">阻断水平所需要的条件。高浓度的 </w:t>
      </w:r>
      <w:r>
        <w:rPr>
          <w:rFonts w:ascii="Arial" w:eastAsia="Arial"/>
          <w:sz w:val="20"/>
          <w:vertAlign w:val="baseline"/>
        </w:rPr>
        <w:t>miRNA</w:t>
      </w:r>
      <w:r>
        <w:rPr>
          <w:rFonts w:ascii="Arial" w:eastAsia="Arial"/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可能具有细胞系依赖性。</w:t>
      </w:r>
    </w:p>
    <w:p>
      <w:pPr>
        <w:pStyle w:val="9"/>
        <w:numPr>
          <w:ilvl w:val="1"/>
          <w:numId w:val="3"/>
        </w:numPr>
        <w:tabs>
          <w:tab w:val="left" w:pos="988"/>
        </w:tabs>
        <w:spacing w:before="0" w:after="0" w:line="280" w:lineRule="auto"/>
        <w:ind w:left="987" w:right="201" w:hanging="420"/>
        <w:jc w:val="both"/>
        <w:rPr>
          <w:sz w:val="20"/>
        </w:rPr>
      </w:pPr>
      <w:r>
        <w:rPr>
          <w:spacing w:val="-28"/>
          <w:sz w:val="20"/>
        </w:rPr>
        <w:t xml:space="preserve">在 </w:t>
      </w:r>
      <w:r>
        <w:rPr>
          <w:rFonts w:ascii="Arial" w:eastAsia="Arial"/>
          <w:sz w:val="20"/>
        </w:rPr>
        <w:t>30-50</w:t>
      </w:r>
      <w:r>
        <w:rPr>
          <w:spacing w:val="-4"/>
          <w:sz w:val="20"/>
        </w:rPr>
        <w:t xml:space="preserve">％细胞汇合度时进行转染。通常基因沉默分析至少要在转染后 </w:t>
      </w:r>
      <w:r>
        <w:rPr>
          <w:rFonts w:ascii="Arial" w:eastAsia="Arial"/>
          <w:sz w:val="20"/>
        </w:rPr>
        <w:t>24-72</w:t>
      </w:r>
      <w:r>
        <w:rPr>
          <w:rFonts w:ascii="Arial" w:eastAsia="Arial"/>
          <w:spacing w:val="-10"/>
          <w:sz w:val="20"/>
        </w:rPr>
        <w:t xml:space="preserve"> </w:t>
      </w:r>
      <w:r>
        <w:rPr>
          <w:spacing w:val="-5"/>
          <w:sz w:val="20"/>
        </w:rPr>
        <w:t>小时进行。低密度转染细胞可以使转染和分析之间更长的间隙更长，从而使由于细胞过度生长造成的细胞活性损害减少到最低。根据靶基因的特性，高密度转染的细胞可能更加适合条件的优化。</w:t>
      </w:r>
    </w:p>
    <w:p>
      <w:pPr>
        <w:pStyle w:val="9"/>
        <w:numPr>
          <w:ilvl w:val="1"/>
          <w:numId w:val="3"/>
        </w:numPr>
        <w:tabs>
          <w:tab w:val="left" w:pos="988"/>
        </w:tabs>
        <w:spacing w:before="1" w:after="0" w:line="240" w:lineRule="auto"/>
        <w:ind w:left="987" w:right="0" w:hanging="421"/>
        <w:jc w:val="both"/>
        <w:rPr>
          <w:sz w:val="20"/>
        </w:rPr>
      </w:pPr>
      <w:r>
        <w:rPr>
          <w:sz w:val="20"/>
        </w:rPr>
        <w:t>不要在转染时的培养基中加入抗生素，因为这将会降低细胞转染的效率和导致细胞死亡。</w:t>
      </w:r>
    </w:p>
    <w:p>
      <w:pPr>
        <w:pStyle w:val="9"/>
        <w:numPr>
          <w:ilvl w:val="1"/>
          <w:numId w:val="3"/>
        </w:numPr>
        <w:tabs>
          <w:tab w:val="left" w:pos="988"/>
        </w:tabs>
        <w:spacing w:before="44" w:after="0" w:line="280" w:lineRule="auto"/>
        <w:ind w:left="987" w:right="200" w:hanging="421"/>
        <w:jc w:val="both"/>
        <w:rPr>
          <w:sz w:val="20"/>
        </w:rPr>
      </w:pPr>
      <w:r>
        <w:rPr>
          <w:spacing w:val="-12"/>
          <w:sz w:val="20"/>
        </w:rPr>
        <w:t xml:space="preserve">为了获得更好的结果，可以使用 </w:t>
      </w:r>
      <w:r>
        <w:rPr>
          <w:rFonts w:ascii="Arial" w:eastAsia="Arial"/>
          <w:sz w:val="20"/>
        </w:rPr>
        <w:t>Invitrogen</w:t>
      </w:r>
      <w:r>
        <w:rPr>
          <w:rFonts w:ascii="Arial" w:eastAsia="Arial"/>
          <w:spacing w:val="38"/>
          <w:sz w:val="20"/>
        </w:rPr>
        <w:t xml:space="preserve"> </w:t>
      </w:r>
      <w:r>
        <w:rPr>
          <w:spacing w:val="-27"/>
          <w:sz w:val="20"/>
        </w:rPr>
        <w:t xml:space="preserve">的 </w:t>
      </w:r>
      <w:r>
        <w:rPr>
          <w:rFonts w:ascii="Arial" w:eastAsia="Arial"/>
          <w:sz w:val="20"/>
        </w:rPr>
        <w:t>Opti-MEM</w:t>
      </w:r>
      <w:r>
        <w:rPr>
          <w:rFonts w:ascii="Arial" w:eastAsia="Arial"/>
          <w:spacing w:val="-9"/>
          <w:sz w:val="20"/>
        </w:rPr>
        <w:t xml:space="preserve"> </w:t>
      </w:r>
      <w:r>
        <w:rPr>
          <w:spacing w:val="-4"/>
          <w:sz w:val="20"/>
        </w:rPr>
        <w:t xml:space="preserve">低血清培养基在形成复合物前稀释 </w:t>
      </w:r>
      <w:r>
        <w:rPr>
          <w:rFonts w:ascii="Arial" w:eastAsia="Arial"/>
          <w:sz w:val="20"/>
        </w:rPr>
        <w:t>Lipofectamine</w:t>
      </w:r>
      <w:r>
        <w:rPr>
          <w:rFonts w:ascii="Arial" w:eastAsia="Arial"/>
          <w:sz w:val="20"/>
          <w:vertAlign w:val="superscript"/>
        </w:rPr>
        <w:t>TM</w:t>
      </w:r>
      <w:r>
        <w:rPr>
          <w:rFonts w:ascii="Arial" w:eastAsia="Arial"/>
          <w:spacing w:val="-12"/>
          <w:sz w:val="20"/>
          <w:vertAlign w:val="baseline"/>
        </w:rPr>
        <w:t xml:space="preserve"> </w:t>
      </w:r>
      <w:r>
        <w:rPr>
          <w:rFonts w:ascii="Arial" w:eastAsia="Arial"/>
          <w:sz w:val="20"/>
          <w:vertAlign w:val="baseline"/>
        </w:rPr>
        <w:t xml:space="preserve">2000 </w:t>
      </w:r>
      <w:r>
        <w:rPr>
          <w:spacing w:val="-27"/>
          <w:sz w:val="20"/>
          <w:vertAlign w:val="baseline"/>
        </w:rPr>
        <w:t xml:space="preserve">和 </w:t>
      </w:r>
      <w:r>
        <w:rPr>
          <w:rFonts w:ascii="Arial" w:eastAsia="Arial"/>
          <w:sz w:val="20"/>
          <w:vertAlign w:val="baseline"/>
        </w:rPr>
        <w:t>miRNA</w:t>
      </w:r>
      <w:r>
        <w:rPr>
          <w:spacing w:val="-1"/>
          <w:sz w:val="20"/>
          <w:vertAlign w:val="baseline"/>
        </w:rPr>
        <w:t xml:space="preserve">。 可以使用荧光标记的 </w:t>
      </w:r>
      <w:r>
        <w:rPr>
          <w:rFonts w:ascii="Arial" w:eastAsia="Arial"/>
          <w:sz w:val="20"/>
          <w:vertAlign w:val="baseline"/>
        </w:rPr>
        <w:t>miRNA</w:t>
      </w:r>
      <w:r>
        <w:rPr>
          <w:rFonts w:ascii="Arial" w:eastAsia="Arial"/>
          <w:spacing w:val="-8"/>
          <w:sz w:val="20"/>
          <w:vertAlign w:val="baseline"/>
        </w:rPr>
        <w:t xml:space="preserve"> </w:t>
      </w:r>
      <w:r>
        <w:rPr>
          <w:spacing w:val="-4"/>
          <w:sz w:val="20"/>
          <w:vertAlign w:val="baseline"/>
        </w:rPr>
        <w:t>帮助优化细胞系的转染条件。一旦确定了用来转染的最佳条件，可以在</w:t>
      </w:r>
      <w:r>
        <w:rPr>
          <w:spacing w:val="-8"/>
          <w:sz w:val="20"/>
          <w:vertAlign w:val="baseline"/>
        </w:rPr>
        <w:t xml:space="preserve">每一次实验都包括荧光标记 </w:t>
      </w:r>
      <w:r>
        <w:rPr>
          <w:rFonts w:ascii="Arial" w:eastAsia="Arial"/>
          <w:sz w:val="20"/>
          <w:vertAlign w:val="baseline"/>
        </w:rPr>
        <w:t>miRNA</w:t>
      </w:r>
      <w:r>
        <w:rPr>
          <w:sz w:val="20"/>
          <w:vertAlign w:val="baseline"/>
        </w:rPr>
        <w:t>，作为转染效率的指示剂.</w:t>
      </w:r>
    </w:p>
    <w:p>
      <w:pPr>
        <w:pStyle w:val="5"/>
        <w:spacing w:line="262" w:lineRule="exact"/>
        <w:ind w:left="987"/>
        <w:jc w:val="both"/>
      </w:pPr>
      <w:r>
        <w:rPr>
          <w:b/>
          <w:sz w:val="22"/>
        </w:rPr>
        <w:t>注：</w:t>
      </w:r>
      <w:r>
        <w:rPr>
          <w:rFonts w:ascii="Arial" w:eastAsia="Arial"/>
        </w:rPr>
        <w:t xml:space="preserve">miRNA inhibitor </w:t>
      </w:r>
      <w:r>
        <w:t xml:space="preserve">往往需要用到较大的用量才能观察到较好的抑制效果，相当于 </w:t>
      </w:r>
      <w:r>
        <w:rPr>
          <w:rFonts w:ascii="Arial" w:eastAsia="Arial"/>
        </w:rPr>
        <w:t xml:space="preserve">miRNA mimic </w:t>
      </w:r>
      <w:r>
        <w:t>的几倍用量，</w:t>
      </w:r>
    </w:p>
    <w:p>
      <w:pPr>
        <w:pStyle w:val="5"/>
        <w:spacing w:before="38" w:line="280" w:lineRule="auto"/>
        <w:ind w:left="987" w:right="200"/>
        <w:jc w:val="both"/>
      </w:pPr>
      <w:r>
        <w:rPr>
          <w:spacing w:val="-11"/>
        </w:rPr>
        <w:t xml:space="preserve">这可能与 </w:t>
      </w:r>
      <w:r>
        <w:rPr>
          <w:rFonts w:ascii="Arial" w:eastAsia="Arial"/>
        </w:rPr>
        <w:t xml:space="preserve">miRNA inhibitor </w:t>
      </w:r>
      <w:r>
        <w:t>竞争性抑制的作用机制及作用效率有关。因此，当使用推荐的转染浓度没有获得预期效果时，可适当选择更高的浓度（</w:t>
      </w:r>
      <w:r>
        <w:rPr>
          <w:spacing w:val="-26"/>
        </w:rPr>
        <w:t xml:space="preserve">表 </w:t>
      </w:r>
      <w:r>
        <w:t>3 ）</w:t>
      </w:r>
      <w:r>
        <w:rPr>
          <w:spacing w:val="16"/>
        </w:rPr>
        <w:t>或选择</w:t>
      </w:r>
      <w:r>
        <w:rPr>
          <w:rFonts w:ascii="Arial" w:eastAsia="Arial"/>
        </w:rPr>
        <w:t>antagomir</w:t>
      </w:r>
      <w:r>
        <w:t>（无需转染试剂）进行实验.</w:t>
      </w:r>
    </w:p>
    <w:p>
      <w:pPr>
        <w:pStyle w:val="4"/>
        <w:numPr>
          <w:ilvl w:val="0"/>
          <w:numId w:val="3"/>
        </w:numPr>
        <w:tabs>
          <w:tab w:val="left" w:pos="718"/>
        </w:tabs>
        <w:spacing w:before="0" w:after="0" w:line="259" w:lineRule="exact"/>
        <w:ind w:left="717" w:right="0" w:hanging="361"/>
        <w:jc w:val="both"/>
      </w:pPr>
      <w:r>
        <w:t>转染步骤：</w:t>
      </w:r>
    </w:p>
    <w:p>
      <w:pPr>
        <w:pStyle w:val="5"/>
        <w:spacing w:before="41"/>
        <w:ind w:left="777"/>
      </w:pPr>
      <w:r>
        <w:t xml:space="preserve">以 </w:t>
      </w:r>
      <w:r>
        <w:rPr>
          <w:rFonts w:ascii="Arial" w:eastAsia="Arial"/>
        </w:rPr>
        <w:t>Lipofectamine</w:t>
      </w:r>
      <w:r>
        <w:rPr>
          <w:rFonts w:ascii="Arial" w:eastAsia="Arial"/>
          <w:vertAlign w:val="superscript"/>
        </w:rPr>
        <w:t>TM</w:t>
      </w:r>
      <w:r>
        <w:rPr>
          <w:rFonts w:ascii="Arial" w:eastAsia="Arial"/>
          <w:vertAlign w:val="baseline"/>
        </w:rPr>
        <w:t xml:space="preserve"> 2000 </w:t>
      </w:r>
      <w:r>
        <w:rPr>
          <w:vertAlign w:val="baseline"/>
        </w:rPr>
        <w:t xml:space="preserve">转染 </w:t>
      </w:r>
      <w:r>
        <w:rPr>
          <w:rFonts w:ascii="Arial" w:eastAsia="Arial"/>
          <w:vertAlign w:val="baseline"/>
        </w:rPr>
        <w:t xml:space="preserve">miRNA </w:t>
      </w:r>
      <w:r>
        <w:rPr>
          <w:vertAlign w:val="baseline"/>
        </w:rPr>
        <w:t xml:space="preserve">于 24 孔板，转染浓度为 </w:t>
      </w:r>
      <w:r>
        <w:rPr>
          <w:rFonts w:ascii="Arial" w:eastAsia="Arial"/>
          <w:vertAlign w:val="baseline"/>
        </w:rPr>
        <w:t xml:space="preserve">50nM </w:t>
      </w:r>
      <w:r>
        <w:rPr>
          <w:vertAlign w:val="baseline"/>
        </w:rPr>
        <w:t xml:space="preserve">为例，其他规格容器转染请参考表 </w:t>
      </w:r>
      <w:r>
        <w:rPr>
          <w:rFonts w:ascii="Arial" w:eastAsia="Arial"/>
          <w:vertAlign w:val="baseline"/>
        </w:rPr>
        <w:t>2</w:t>
      </w:r>
      <w:r>
        <w:rPr>
          <w:vertAlign w:val="baseline"/>
        </w:rPr>
        <w:t>。</w:t>
      </w:r>
    </w:p>
    <w:p>
      <w:pPr>
        <w:pStyle w:val="9"/>
        <w:numPr>
          <w:ilvl w:val="0"/>
          <w:numId w:val="4"/>
        </w:numPr>
        <w:tabs>
          <w:tab w:val="left" w:pos="1138"/>
        </w:tabs>
        <w:spacing w:before="23" w:after="0" w:line="240" w:lineRule="auto"/>
        <w:ind w:left="1137" w:right="0" w:hanging="361"/>
        <w:jc w:val="left"/>
        <w:rPr>
          <w:b/>
          <w:sz w:val="22"/>
        </w:rPr>
      </w:pPr>
      <w:r>
        <w:rPr>
          <w:b/>
          <w:sz w:val="22"/>
        </w:rPr>
        <w:t>接种细胞</w:t>
      </w:r>
    </w:p>
    <w:p>
      <w:pPr>
        <w:pStyle w:val="5"/>
        <w:spacing w:before="39" w:line="280" w:lineRule="auto"/>
        <w:ind w:left="2201" w:right="125" w:hanging="1005"/>
      </w:pPr>
      <w:r>
        <w:rPr>
          <w:b/>
        </w:rPr>
        <w:t>贴壁细胞：</w:t>
      </w:r>
      <w:r>
        <w:rPr>
          <w:spacing w:val="-13"/>
        </w:rPr>
        <w:t xml:space="preserve">转染前 </w:t>
      </w:r>
      <w:r>
        <w:t xml:space="preserve">24 </w:t>
      </w:r>
      <w:r>
        <w:rPr>
          <w:rFonts w:ascii="Arial" w:hAnsi="Arial" w:eastAsia="Arial"/>
        </w:rPr>
        <w:t>hrs</w:t>
      </w:r>
      <w:r>
        <w:rPr>
          <w:spacing w:val="-17"/>
        </w:rPr>
        <w:t xml:space="preserve">，在 </w:t>
      </w:r>
      <w:r>
        <w:rPr>
          <w:rFonts w:ascii="Arial" w:hAnsi="Arial" w:eastAsia="Arial"/>
        </w:rPr>
        <w:t xml:space="preserve">400 µL </w:t>
      </w:r>
      <w:r>
        <w:rPr>
          <w:spacing w:val="-6"/>
        </w:rPr>
        <w:t xml:space="preserve">无抗培养基中接种 </w:t>
      </w:r>
      <w:r>
        <w:rPr>
          <w:rFonts w:ascii="Arial" w:hAnsi="Arial" w:eastAsia="Arial"/>
        </w:rPr>
        <w:t>0.5</w:t>
      </w:r>
      <w:r>
        <w:rPr>
          <w:rFonts w:ascii="Arial" w:hAnsi="Arial" w:eastAsia="Arial"/>
          <w:spacing w:val="-2"/>
        </w:rPr>
        <w:t xml:space="preserve"> - </w:t>
      </w:r>
      <w:r>
        <w:rPr>
          <w:rFonts w:ascii="Arial" w:hAnsi="Arial" w:eastAsia="Arial"/>
        </w:rPr>
        <w:t>2</w:t>
      </w:r>
      <w:r>
        <w:t>×</w:t>
      </w:r>
      <w:r>
        <w:rPr>
          <w:rFonts w:ascii="Arial" w:hAnsi="Arial" w:eastAsia="Arial"/>
        </w:rPr>
        <w:t xml:space="preserve">105 </w:t>
      </w:r>
      <w:r>
        <w:rPr>
          <w:spacing w:val="-4"/>
        </w:rPr>
        <w:t xml:space="preserve">个细胞，转染时细胞融合度为 </w:t>
      </w:r>
      <w:r>
        <w:rPr>
          <w:rFonts w:ascii="Arial" w:hAnsi="Arial" w:eastAsia="Arial"/>
        </w:rPr>
        <w:t>30</w:t>
      </w:r>
      <w:r>
        <w:rPr>
          <w:rFonts w:ascii="Arial" w:hAnsi="Arial" w:eastAsia="Arial"/>
          <w:spacing w:val="-2"/>
        </w:rPr>
        <w:t xml:space="preserve"> - </w:t>
      </w:r>
      <w:r>
        <w:rPr>
          <w:rFonts w:ascii="Arial" w:hAnsi="Arial" w:eastAsia="Arial"/>
        </w:rPr>
        <w:t>50%</w:t>
      </w:r>
      <w:r>
        <w:t>。(注：铺板时要将细胞消化完全混匀，避免细胞堆积生长。)</w:t>
      </w:r>
    </w:p>
    <w:p>
      <w:pPr>
        <w:spacing w:before="0" w:line="259" w:lineRule="exact"/>
        <w:ind w:left="1197" w:right="0" w:firstLine="0"/>
        <w:jc w:val="left"/>
        <w:rPr>
          <w:rFonts w:ascii="Arial" w:hAnsi="Arial" w:eastAsia="Arial"/>
          <w:sz w:val="21"/>
        </w:rPr>
      </w:pPr>
      <w:r>
        <w:rPr>
          <w:rFonts w:hint="eastAsia" w:ascii="宋体" w:hAnsi="宋体" w:eastAsia="宋体"/>
          <w:b/>
          <w:sz w:val="21"/>
        </w:rPr>
        <w:t>悬浮细胞：</w:t>
      </w:r>
      <w:r>
        <w:rPr>
          <w:rFonts w:hint="eastAsia" w:ascii="宋体" w:hAnsi="宋体" w:eastAsia="宋体"/>
          <w:sz w:val="21"/>
        </w:rPr>
        <w:t xml:space="preserve">转染前 </w:t>
      </w:r>
      <w:r>
        <w:rPr>
          <w:rFonts w:ascii="Arial" w:hAnsi="Arial" w:eastAsia="Arial"/>
          <w:sz w:val="21"/>
        </w:rPr>
        <w:t>24 hrs</w:t>
      </w:r>
      <w:r>
        <w:rPr>
          <w:rFonts w:hint="eastAsia" w:ascii="宋体" w:hAnsi="宋体" w:eastAsia="宋体"/>
          <w:sz w:val="21"/>
        </w:rPr>
        <w:t xml:space="preserve">，在 </w:t>
      </w:r>
      <w:r>
        <w:rPr>
          <w:rFonts w:ascii="Arial" w:hAnsi="Arial" w:eastAsia="Arial"/>
          <w:sz w:val="21"/>
        </w:rPr>
        <w:t xml:space="preserve">400 </w:t>
      </w:r>
      <w:r>
        <w:rPr>
          <w:rFonts w:ascii="Calibri" w:hAnsi="Calibri" w:eastAsia="Calibri"/>
          <w:sz w:val="21"/>
        </w:rPr>
        <w:t>µ</w:t>
      </w:r>
      <w:r>
        <w:rPr>
          <w:rFonts w:ascii="Arial" w:hAnsi="Arial" w:eastAsia="Arial"/>
          <w:sz w:val="21"/>
        </w:rPr>
        <w:t xml:space="preserve">L </w:t>
      </w:r>
      <w:r>
        <w:rPr>
          <w:rFonts w:hint="eastAsia" w:ascii="宋体" w:hAnsi="宋体" w:eastAsia="宋体"/>
          <w:sz w:val="21"/>
        </w:rPr>
        <w:t xml:space="preserve">无抗培养基中接种 </w:t>
      </w:r>
      <w:r>
        <w:rPr>
          <w:rFonts w:ascii="Arial" w:hAnsi="Arial" w:eastAsia="Arial"/>
          <w:sz w:val="21"/>
        </w:rPr>
        <w:t>0.5 - 2</w:t>
      </w:r>
      <w:r>
        <w:rPr>
          <w:rFonts w:ascii="Calibri" w:hAnsi="Calibri" w:eastAsia="Calibri"/>
          <w:sz w:val="21"/>
        </w:rPr>
        <w:t>×</w:t>
      </w:r>
      <w:r>
        <w:rPr>
          <w:rFonts w:ascii="Arial" w:hAnsi="Arial" w:eastAsia="Arial"/>
          <w:sz w:val="21"/>
        </w:rPr>
        <w:t xml:space="preserve">105 </w:t>
      </w:r>
      <w:r>
        <w:rPr>
          <w:rFonts w:hint="eastAsia" w:ascii="宋体" w:hAnsi="宋体" w:eastAsia="宋体"/>
          <w:sz w:val="21"/>
        </w:rPr>
        <w:t xml:space="preserve">个细胞，转染时细胞数量应在 </w:t>
      </w:r>
      <w:r>
        <w:rPr>
          <w:rFonts w:ascii="Arial" w:hAnsi="Arial" w:eastAsia="Arial"/>
          <w:sz w:val="21"/>
        </w:rPr>
        <w:t>4 - 8</w:t>
      </w:r>
    </w:p>
    <w:p>
      <w:pPr>
        <w:spacing w:before="31"/>
        <w:ind w:left="1197" w:right="0" w:firstLine="0"/>
        <w:jc w:val="left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×</w:t>
      </w:r>
      <w:r>
        <w:rPr>
          <w:rFonts w:ascii="Arial" w:hAnsi="Arial" w:eastAsia="Arial"/>
          <w:sz w:val="21"/>
        </w:rPr>
        <w:t>105/</w:t>
      </w:r>
      <w:r>
        <w:rPr>
          <w:rFonts w:hint="eastAsia" w:ascii="宋体" w:hAnsi="宋体" w:eastAsia="宋体"/>
          <w:sz w:val="21"/>
        </w:rPr>
        <w:t>孔。</w:t>
      </w:r>
    </w:p>
    <w:p>
      <w:pPr>
        <w:pStyle w:val="9"/>
        <w:numPr>
          <w:ilvl w:val="0"/>
          <w:numId w:val="4"/>
        </w:numPr>
        <w:tabs>
          <w:tab w:val="left" w:pos="1138"/>
        </w:tabs>
        <w:spacing w:before="20" w:after="0" w:line="240" w:lineRule="auto"/>
        <w:ind w:left="1137" w:right="0" w:hanging="361"/>
        <w:jc w:val="left"/>
        <w:rPr>
          <w:b/>
          <w:sz w:val="22"/>
        </w:rPr>
      </w:pPr>
      <w:r>
        <w:rPr>
          <w:b/>
          <w:sz w:val="22"/>
        </w:rPr>
        <w:t>转染步骤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40" w:right="360" w:bottom="1300" w:left="420" w:header="720" w:footer="720" w:gutter="0"/>
        </w:sectPr>
      </w:pPr>
      <w:bookmarkStart w:id="0" w:name="_GoBack"/>
      <w:bookmarkEnd w:id="0"/>
    </w:p>
    <w:p>
      <w:pPr>
        <w:pStyle w:val="5"/>
        <w:spacing w:line="20" w:lineRule="exact"/>
        <w:ind w:left="109"/>
        <w:rPr>
          <w:sz w:val="2"/>
        </w:rPr>
      </w:pPr>
      <w:r>
        <w:rPr>
          <w:sz w:val="2"/>
        </w:rPr>
        <w:pict>
          <v:group id="_x0000_s1027" o:spid="_x0000_s1027" o:spt="203" style="height:0.75pt;width:541.7pt;" coordsize="10834,15">
            <o:lock v:ext="edit"/>
            <v:line id="_x0000_s1028" o:spid="_x0000_s1028" o:spt="20" style="position:absolute;left:0;top:7;height:0;width:10834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9"/>
        <w:numPr>
          <w:ilvl w:val="1"/>
          <w:numId w:val="4"/>
        </w:numPr>
        <w:tabs>
          <w:tab w:val="left" w:pos="1408"/>
          <w:tab w:val="left" w:pos="7093"/>
        </w:tabs>
        <w:spacing w:before="51" w:after="0" w:line="240" w:lineRule="auto"/>
        <w:ind w:left="1407" w:right="0" w:hanging="271"/>
        <w:jc w:val="left"/>
        <w:rPr>
          <w:sz w:val="20"/>
        </w:rPr>
      </w:pPr>
      <w:r>
        <w:rPr>
          <w:sz w:val="20"/>
        </w:rPr>
        <w:t>用</w:t>
      </w:r>
      <w:r>
        <w:rPr>
          <w:spacing w:val="-52"/>
          <w:sz w:val="20"/>
        </w:rPr>
        <w:t xml:space="preserve"> </w:t>
      </w:r>
      <w:r>
        <w:rPr>
          <w:rFonts w:ascii="Arial" w:hAnsi="Arial" w:eastAsia="Arial"/>
          <w:sz w:val="20"/>
        </w:rPr>
        <w:t>50</w:t>
      </w:r>
      <w:r>
        <w:rPr>
          <w:rFonts w:ascii="Arial" w:hAnsi="Arial" w:eastAsia="Arial"/>
          <w:spacing w:val="-2"/>
          <w:sz w:val="20"/>
        </w:rPr>
        <w:t xml:space="preserve"> </w:t>
      </w:r>
      <w:r>
        <w:rPr>
          <w:rFonts w:ascii="Arial" w:hAnsi="Arial" w:eastAsia="Arial"/>
          <w:sz w:val="20"/>
        </w:rPr>
        <w:t>µL</w:t>
      </w:r>
      <w:r>
        <w:rPr>
          <w:rFonts w:ascii="Arial" w:hAnsi="Arial" w:eastAsia="Arial"/>
          <w:spacing w:val="-11"/>
          <w:sz w:val="20"/>
        </w:rPr>
        <w:t xml:space="preserve"> </w:t>
      </w:r>
      <w:r>
        <w:rPr>
          <w:rFonts w:ascii="Arial" w:hAnsi="Arial" w:eastAsia="Arial"/>
          <w:sz w:val="20"/>
        </w:rPr>
        <w:t>Opti-MEM</w:t>
      </w:r>
      <w:r>
        <w:rPr>
          <w:rFonts w:ascii="Arial" w:hAnsi="Arial" w:eastAsia="Arial"/>
          <w:spacing w:val="-6"/>
          <w:sz w:val="20"/>
        </w:rPr>
        <w:t xml:space="preserve"> </w:t>
      </w:r>
      <w:r>
        <w:rPr>
          <w:sz w:val="20"/>
        </w:rPr>
        <w:t>稀释</w:t>
      </w:r>
      <w:r>
        <w:rPr>
          <w:spacing w:val="-51"/>
          <w:sz w:val="20"/>
        </w:rPr>
        <w:t xml:space="preserve"> </w:t>
      </w:r>
      <w:r>
        <w:rPr>
          <w:rFonts w:ascii="Arial" w:hAnsi="Arial" w:eastAsia="Arial"/>
          <w:sz w:val="20"/>
        </w:rPr>
        <w:t>miRNA</w:t>
      </w:r>
      <w:r>
        <w:rPr>
          <w:rFonts w:ascii="Arial" w:hAnsi="Arial" w:eastAsia="Arial"/>
          <w:spacing w:val="-15"/>
          <w:sz w:val="20"/>
        </w:rPr>
        <w:t xml:space="preserve"> </w:t>
      </w:r>
      <w:r>
        <w:rPr>
          <w:sz w:val="20"/>
        </w:rPr>
        <w:t>(转染细胞的终浓度为</w:t>
      </w:r>
      <w:r>
        <w:rPr>
          <w:spacing w:val="-51"/>
          <w:sz w:val="20"/>
        </w:rPr>
        <w:t xml:space="preserve"> </w:t>
      </w:r>
      <w:r>
        <w:rPr>
          <w:rFonts w:ascii="Arial" w:hAnsi="Arial" w:eastAsia="Arial"/>
          <w:sz w:val="20"/>
        </w:rPr>
        <w:t>50</w:t>
      </w:r>
      <w:r>
        <w:rPr>
          <w:rFonts w:ascii="Arial" w:hAnsi="Arial" w:eastAsia="Arial"/>
          <w:spacing w:val="-3"/>
          <w:sz w:val="20"/>
        </w:rPr>
        <w:t xml:space="preserve"> </w:t>
      </w:r>
      <w:r>
        <w:rPr>
          <w:rFonts w:ascii="Arial" w:hAnsi="Arial" w:eastAsia="Arial"/>
          <w:sz w:val="20"/>
        </w:rPr>
        <w:t>nM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，轻轻吹吸</w:t>
      </w:r>
      <w:r>
        <w:rPr>
          <w:spacing w:val="-50"/>
          <w:sz w:val="20"/>
        </w:rPr>
        <w:t xml:space="preserve"> </w:t>
      </w:r>
      <w:r>
        <w:rPr>
          <w:rFonts w:ascii="Arial" w:hAnsi="Arial" w:eastAsia="Arial"/>
          <w:sz w:val="20"/>
        </w:rPr>
        <w:t>3</w:t>
      </w:r>
      <w:r>
        <w:rPr>
          <w:rFonts w:ascii="Arial" w:hAnsi="Arial" w:eastAsia="Arial"/>
          <w:spacing w:val="-2"/>
          <w:sz w:val="20"/>
        </w:rPr>
        <w:t xml:space="preserve"> </w:t>
      </w:r>
      <w:r>
        <w:rPr>
          <w:rFonts w:ascii="Arial" w:hAnsi="Arial" w:eastAsia="Arial"/>
          <w:sz w:val="20"/>
        </w:rPr>
        <w:t>-</w:t>
      </w:r>
      <w:r>
        <w:rPr>
          <w:rFonts w:ascii="Arial" w:hAnsi="Arial" w:eastAsia="Arial"/>
          <w:spacing w:val="-1"/>
          <w:sz w:val="20"/>
        </w:rPr>
        <w:t xml:space="preserve"> </w:t>
      </w:r>
      <w:r>
        <w:rPr>
          <w:rFonts w:ascii="Arial" w:hAnsi="Arial" w:eastAsia="Arial"/>
          <w:sz w:val="20"/>
        </w:rPr>
        <w:t>5</w:t>
      </w:r>
      <w:r>
        <w:rPr>
          <w:rFonts w:ascii="Arial" w:hAnsi="Arial" w:eastAsia="Arial"/>
          <w:spacing w:val="43"/>
          <w:sz w:val="20"/>
        </w:rPr>
        <w:t xml:space="preserve"> </w:t>
      </w:r>
      <w:r>
        <w:rPr>
          <w:sz w:val="20"/>
        </w:rPr>
        <w:t>次混匀。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44" w:after="0" w:line="280" w:lineRule="auto"/>
        <w:ind w:left="1557" w:right="202" w:hanging="421"/>
        <w:jc w:val="left"/>
        <w:rPr>
          <w:sz w:val="20"/>
        </w:rPr>
      </w:pPr>
      <w:r>
        <w:rPr>
          <w:spacing w:val="-4"/>
          <w:sz w:val="20"/>
        </w:rPr>
        <w:t xml:space="preserve">轻轻颠倒混匀转染试剂，用 </w:t>
      </w:r>
      <w:r>
        <w:rPr>
          <w:rFonts w:ascii="Arial" w:hAnsi="Arial" w:eastAsia="Arial"/>
          <w:sz w:val="20"/>
        </w:rPr>
        <w:t>50µL</w:t>
      </w:r>
      <w:r>
        <w:rPr>
          <w:rFonts w:ascii="Arial" w:hAnsi="Arial" w:eastAsia="Arial"/>
          <w:spacing w:val="4"/>
          <w:sz w:val="20"/>
        </w:rPr>
        <w:t xml:space="preserve"> </w:t>
      </w:r>
      <w:r>
        <w:rPr>
          <w:rFonts w:ascii="Arial" w:hAnsi="Arial" w:eastAsia="Arial"/>
          <w:sz w:val="20"/>
        </w:rPr>
        <w:t>Opti-MEM</w:t>
      </w:r>
      <w:r>
        <w:rPr>
          <w:rFonts w:ascii="Arial" w:hAnsi="Arial" w:eastAsia="Arial"/>
          <w:spacing w:val="-7"/>
          <w:sz w:val="20"/>
        </w:rPr>
        <w:t xml:space="preserve"> </w:t>
      </w:r>
      <w:r>
        <w:rPr>
          <w:spacing w:val="-17"/>
          <w:sz w:val="20"/>
        </w:rPr>
        <w:t xml:space="preserve">稀释 </w:t>
      </w:r>
      <w:r>
        <w:rPr>
          <w:rFonts w:ascii="Arial" w:hAnsi="Arial" w:eastAsia="Arial"/>
          <w:sz w:val="20"/>
        </w:rPr>
        <w:t>1.0</w:t>
      </w:r>
      <w:r>
        <w:rPr>
          <w:rFonts w:ascii="Arial" w:hAnsi="Arial" w:eastAsia="Arial"/>
          <w:spacing w:val="10"/>
          <w:sz w:val="20"/>
        </w:rPr>
        <w:t xml:space="preserve"> </w:t>
      </w:r>
      <w:r>
        <w:rPr>
          <w:rFonts w:ascii="Arial" w:hAnsi="Arial" w:eastAsia="Arial"/>
          <w:sz w:val="20"/>
        </w:rPr>
        <w:t>µL</w:t>
      </w:r>
      <w:r>
        <w:rPr>
          <w:rFonts w:ascii="Arial" w:hAnsi="Arial" w:eastAsia="Arial"/>
          <w:spacing w:val="4"/>
          <w:sz w:val="20"/>
        </w:rPr>
        <w:t xml:space="preserve"> </w:t>
      </w:r>
      <w:r>
        <w:rPr>
          <w:rFonts w:ascii="Arial" w:hAnsi="Arial" w:eastAsia="Arial"/>
          <w:sz w:val="20"/>
        </w:rPr>
        <w:t>Lipofectamine</w:t>
      </w:r>
      <w:r>
        <w:rPr>
          <w:rFonts w:ascii="Arial" w:hAnsi="Arial" w:eastAsia="Arial"/>
          <w:sz w:val="20"/>
          <w:vertAlign w:val="superscript"/>
        </w:rPr>
        <w:t>TM</w:t>
      </w:r>
      <w:r>
        <w:rPr>
          <w:rFonts w:ascii="Arial" w:hAnsi="Arial" w:eastAsia="Arial"/>
          <w:spacing w:val="10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2000</w:t>
      </w:r>
      <w:r>
        <w:rPr>
          <w:spacing w:val="-9"/>
          <w:sz w:val="20"/>
          <w:vertAlign w:val="baseline"/>
        </w:rPr>
        <w:t xml:space="preserve">，轻轻吹吸 </w:t>
      </w:r>
      <w:r>
        <w:rPr>
          <w:rFonts w:ascii="Arial" w:hAnsi="Arial" w:eastAsia="Arial"/>
          <w:sz w:val="20"/>
          <w:vertAlign w:val="baseline"/>
        </w:rPr>
        <w:t>3</w:t>
      </w:r>
      <w:r>
        <w:rPr>
          <w:rFonts w:ascii="Arial" w:hAnsi="Arial" w:eastAsia="Arial"/>
          <w:spacing w:val="7"/>
          <w:sz w:val="20"/>
          <w:vertAlign w:val="baseline"/>
        </w:rPr>
        <w:t xml:space="preserve"> – </w:t>
      </w:r>
      <w:r>
        <w:rPr>
          <w:rFonts w:ascii="Arial" w:hAnsi="Arial" w:eastAsia="Arial"/>
          <w:sz w:val="20"/>
          <w:vertAlign w:val="baseline"/>
        </w:rPr>
        <w:t>5</w:t>
      </w:r>
      <w:r>
        <w:rPr>
          <w:rFonts w:ascii="Arial" w:hAnsi="Arial" w:eastAsia="Arial"/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次混匀，室</w:t>
      </w:r>
      <w:r>
        <w:rPr>
          <w:spacing w:val="-10"/>
          <w:sz w:val="20"/>
          <w:vertAlign w:val="baseline"/>
        </w:rPr>
        <w:t xml:space="preserve">温下静置 </w:t>
      </w:r>
      <w:r>
        <w:rPr>
          <w:rFonts w:ascii="Arial" w:hAnsi="Arial" w:eastAsia="Arial"/>
          <w:sz w:val="20"/>
          <w:vertAlign w:val="baseline"/>
        </w:rPr>
        <w:t>5</w:t>
      </w:r>
      <w:r>
        <w:rPr>
          <w:rFonts w:ascii="Arial" w:hAnsi="Arial" w:eastAsia="Arial"/>
          <w:spacing w:val="-2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min</w:t>
      </w:r>
      <w:r>
        <w:rPr>
          <w:sz w:val="20"/>
          <w:vertAlign w:val="baseline"/>
        </w:rPr>
        <w:t>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0" w:after="0" w:line="240" w:lineRule="auto"/>
        <w:ind w:left="1407" w:right="0" w:hanging="271"/>
        <w:jc w:val="left"/>
        <w:rPr>
          <w:sz w:val="20"/>
        </w:rPr>
      </w:pPr>
      <w:r>
        <w:rPr>
          <w:spacing w:val="-7"/>
          <w:sz w:val="20"/>
        </w:rPr>
        <w:t xml:space="preserve">混合转染试剂和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7"/>
          <w:sz w:val="20"/>
        </w:rPr>
        <w:t xml:space="preserve"> </w:t>
      </w:r>
      <w:r>
        <w:rPr>
          <w:spacing w:val="-6"/>
          <w:sz w:val="20"/>
        </w:rPr>
        <w:t xml:space="preserve">稀释液，轻轻吹吸 </w:t>
      </w:r>
      <w:r>
        <w:rPr>
          <w:rFonts w:ascii="Arial" w:eastAsia="Arial"/>
          <w:sz w:val="20"/>
        </w:rPr>
        <w:t>3</w:t>
      </w:r>
      <w:r>
        <w:rPr>
          <w:rFonts w:ascii="Arial" w:eastAsia="Arial"/>
          <w:spacing w:val="-1"/>
          <w:sz w:val="20"/>
        </w:rPr>
        <w:t xml:space="preserve"> - </w:t>
      </w:r>
      <w:r>
        <w:rPr>
          <w:rFonts w:ascii="Arial" w:eastAsia="Arial"/>
          <w:sz w:val="20"/>
        </w:rPr>
        <w:t>5</w:t>
      </w:r>
      <w:r>
        <w:rPr>
          <w:rFonts w:ascii="Arial" w:eastAsia="Arial"/>
          <w:spacing w:val="43"/>
          <w:sz w:val="20"/>
        </w:rPr>
        <w:t xml:space="preserve"> </w:t>
      </w:r>
      <w:r>
        <w:rPr>
          <w:spacing w:val="-5"/>
          <w:sz w:val="20"/>
        </w:rPr>
        <w:t xml:space="preserve">次混匀，室温下静置 </w:t>
      </w:r>
      <w:r>
        <w:rPr>
          <w:rFonts w:ascii="Arial" w:eastAsia="Arial"/>
          <w:sz w:val="20"/>
        </w:rPr>
        <w:t>20</w:t>
      </w:r>
      <w:r>
        <w:rPr>
          <w:rFonts w:ascii="Arial" w:eastAsia="Arial"/>
          <w:spacing w:val="-2"/>
          <w:sz w:val="20"/>
        </w:rPr>
        <w:t xml:space="preserve"> </w:t>
      </w:r>
      <w:r>
        <w:rPr>
          <w:rFonts w:ascii="Arial" w:eastAsia="Arial"/>
          <w:sz w:val="20"/>
        </w:rPr>
        <w:t>min</w:t>
      </w:r>
      <w:r>
        <w:rPr>
          <w:sz w:val="20"/>
        </w:rPr>
        <w:t>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44" w:after="0" w:line="240" w:lineRule="auto"/>
        <w:ind w:left="1407" w:right="0" w:hanging="271"/>
        <w:jc w:val="left"/>
        <w:rPr>
          <w:sz w:val="20"/>
        </w:rPr>
      </w:pPr>
      <w:r>
        <w:rPr>
          <w:spacing w:val="-6"/>
          <w:sz w:val="20"/>
        </w:rPr>
        <w:t xml:space="preserve">转染复合物加入到 </w:t>
      </w:r>
      <w:r>
        <w:rPr>
          <w:rFonts w:ascii="Arial" w:hAnsi="Arial" w:eastAsia="Arial"/>
          <w:sz w:val="20"/>
        </w:rPr>
        <w:t>24</w:t>
      </w:r>
      <w:r>
        <w:rPr>
          <w:rFonts w:ascii="Arial" w:hAnsi="Arial" w:eastAsia="Arial"/>
          <w:spacing w:val="-5"/>
          <w:sz w:val="20"/>
        </w:rPr>
        <w:t xml:space="preserve"> </w:t>
      </w:r>
      <w:r>
        <w:rPr>
          <w:sz w:val="20"/>
        </w:rPr>
        <w:t>孔细胞板中，</w:t>
      </w:r>
      <w:r>
        <w:rPr>
          <w:rFonts w:ascii="Arial" w:hAnsi="Arial" w:eastAsia="Arial"/>
          <w:sz w:val="20"/>
        </w:rPr>
        <w:t>100</w:t>
      </w:r>
      <w:r>
        <w:rPr>
          <w:rFonts w:ascii="Arial" w:hAnsi="Arial" w:eastAsia="Arial"/>
          <w:spacing w:val="-2"/>
          <w:sz w:val="20"/>
        </w:rPr>
        <w:t xml:space="preserve"> </w:t>
      </w:r>
      <w:r>
        <w:rPr>
          <w:rFonts w:ascii="Arial" w:hAnsi="Arial" w:eastAsia="Arial"/>
          <w:sz w:val="20"/>
        </w:rPr>
        <w:t>µL/</w:t>
      </w:r>
      <w:r>
        <w:rPr>
          <w:sz w:val="20"/>
        </w:rPr>
        <w:t>孔，前后轻摇细胞板混合均匀。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44" w:after="0" w:line="280" w:lineRule="auto"/>
        <w:ind w:left="2455" w:right="1803" w:hanging="1318"/>
        <w:jc w:val="left"/>
        <w:rPr>
          <w:sz w:val="20"/>
        </w:rPr>
      </w:pPr>
      <w:r>
        <w:rPr>
          <w:spacing w:val="-9"/>
          <w:sz w:val="20"/>
        </w:rPr>
        <w:t xml:space="preserve">细胞板置于 </w:t>
      </w:r>
      <w:r>
        <w:rPr>
          <w:rFonts w:ascii="Arial" w:hAnsi="Arial" w:eastAsia="Arial"/>
          <w:sz w:val="20"/>
        </w:rPr>
        <w:t>37</w:t>
      </w:r>
      <w:r>
        <w:rPr>
          <w:sz w:val="20"/>
        </w:rPr>
        <w:t>℃、</w:t>
      </w:r>
      <w:r>
        <w:rPr>
          <w:rFonts w:ascii="Arial" w:hAnsi="Arial" w:eastAsia="Arial"/>
          <w:sz w:val="20"/>
        </w:rPr>
        <w:t>5</w:t>
      </w:r>
      <w:r>
        <w:rPr>
          <w:rFonts w:ascii="Arial" w:hAnsi="Arial" w:eastAsia="Arial"/>
          <w:spacing w:val="-1"/>
          <w:sz w:val="20"/>
        </w:rPr>
        <w:t xml:space="preserve">% </w:t>
      </w:r>
      <w:r>
        <w:rPr>
          <w:rFonts w:ascii="Arial" w:hAnsi="Arial" w:eastAsia="Arial"/>
          <w:sz w:val="20"/>
        </w:rPr>
        <w:t>CO</w:t>
      </w:r>
      <w:r>
        <w:rPr>
          <w:rFonts w:ascii="Arial" w:hAnsi="Arial" w:eastAsia="Arial"/>
          <w:sz w:val="20"/>
          <w:vertAlign w:val="subscript"/>
        </w:rPr>
        <w:t>2</w:t>
      </w:r>
      <w:r>
        <w:rPr>
          <w:rFonts w:ascii="Arial" w:hAnsi="Arial" w:eastAsia="Arial"/>
          <w:spacing w:val="-24"/>
          <w:sz w:val="20"/>
          <w:vertAlign w:val="baseline"/>
        </w:rPr>
        <w:t xml:space="preserve"> </w:t>
      </w:r>
      <w:r>
        <w:rPr>
          <w:spacing w:val="-8"/>
          <w:sz w:val="20"/>
          <w:vertAlign w:val="baseline"/>
        </w:rPr>
        <w:t xml:space="preserve">培养箱中培养 </w:t>
      </w:r>
      <w:r>
        <w:rPr>
          <w:rFonts w:ascii="Arial" w:hAnsi="Arial" w:eastAsia="Arial"/>
          <w:sz w:val="20"/>
          <w:vertAlign w:val="baseline"/>
        </w:rPr>
        <w:t>18</w:t>
      </w:r>
      <w:r>
        <w:rPr>
          <w:rFonts w:ascii="Arial" w:hAnsi="Arial" w:eastAsia="Arial"/>
          <w:spacing w:val="-2"/>
          <w:sz w:val="20"/>
          <w:vertAlign w:val="baseline"/>
        </w:rPr>
        <w:t xml:space="preserve"> - </w:t>
      </w:r>
      <w:r>
        <w:rPr>
          <w:rFonts w:ascii="Arial" w:hAnsi="Arial" w:eastAsia="Arial"/>
          <w:sz w:val="20"/>
          <w:vertAlign w:val="baseline"/>
        </w:rPr>
        <w:t>48</w:t>
      </w:r>
      <w:r>
        <w:rPr>
          <w:rFonts w:ascii="Arial" w:hAnsi="Arial" w:eastAsia="Arial"/>
          <w:spacing w:val="-1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hrs</w:t>
      </w:r>
      <w:r>
        <w:rPr>
          <w:spacing w:val="-13"/>
          <w:sz w:val="20"/>
          <w:vertAlign w:val="baseline"/>
        </w:rPr>
        <w:t xml:space="preserve">。转染 </w:t>
      </w:r>
      <w:r>
        <w:rPr>
          <w:rFonts w:ascii="Arial" w:hAnsi="Arial" w:eastAsia="Arial"/>
          <w:sz w:val="20"/>
          <w:vertAlign w:val="baseline"/>
        </w:rPr>
        <w:t>4</w:t>
      </w:r>
      <w:r>
        <w:rPr>
          <w:rFonts w:ascii="Arial" w:hAnsi="Arial" w:eastAsia="Arial"/>
          <w:spacing w:val="-1"/>
          <w:sz w:val="20"/>
          <w:vertAlign w:val="baseline"/>
        </w:rPr>
        <w:t xml:space="preserve"> - </w:t>
      </w:r>
      <w:r>
        <w:rPr>
          <w:rFonts w:ascii="Arial" w:hAnsi="Arial" w:eastAsia="Arial"/>
          <w:sz w:val="20"/>
          <w:vertAlign w:val="baseline"/>
        </w:rPr>
        <w:t>6</w:t>
      </w:r>
      <w:r>
        <w:rPr>
          <w:rFonts w:ascii="Arial" w:hAnsi="Arial" w:eastAsia="Arial"/>
          <w:spacing w:val="-2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hrs</w:t>
      </w:r>
      <w:r>
        <w:rPr>
          <w:rFonts w:ascii="Arial" w:hAnsi="Arial" w:eastAsia="Arial"/>
          <w:spacing w:val="44"/>
          <w:sz w:val="20"/>
          <w:vertAlign w:val="baseline"/>
        </w:rPr>
        <w:t xml:space="preserve"> </w:t>
      </w:r>
      <w:r>
        <w:rPr>
          <w:sz w:val="20"/>
          <w:vertAlign w:val="baseline"/>
        </w:rPr>
        <w:t>后可换新鲜培养基表</w:t>
      </w:r>
      <w:r>
        <w:rPr>
          <w:b/>
          <w:spacing w:val="-26"/>
          <w:sz w:val="20"/>
          <w:vertAlign w:val="baseline"/>
        </w:rPr>
        <w:t xml:space="preserve">表 </w:t>
      </w:r>
      <w:r>
        <w:rPr>
          <w:rFonts w:ascii="Arial" w:hAnsi="Arial" w:eastAsia="Arial"/>
          <w:b/>
          <w:sz w:val="20"/>
          <w:vertAlign w:val="baseline"/>
        </w:rPr>
        <w:t>2</w:t>
      </w:r>
      <w:r>
        <w:rPr>
          <w:rFonts w:ascii="Arial" w:hAnsi="Arial" w:eastAsia="Arial"/>
          <w:b/>
          <w:spacing w:val="29"/>
          <w:sz w:val="20"/>
          <w:vertAlign w:val="baseline"/>
        </w:rPr>
        <w:t xml:space="preserve"> </w:t>
      </w:r>
      <w:r>
        <w:rPr>
          <w:spacing w:val="-17"/>
          <w:sz w:val="20"/>
          <w:vertAlign w:val="baseline"/>
        </w:rPr>
        <w:t xml:space="preserve">使用 </w:t>
      </w:r>
      <w:r>
        <w:rPr>
          <w:rFonts w:ascii="Arial" w:hAnsi="Arial" w:eastAsia="Arial"/>
          <w:sz w:val="20"/>
          <w:vertAlign w:val="baseline"/>
        </w:rPr>
        <w:t>lipofectamine2000(invitrogen)</w:t>
      </w:r>
      <w:r>
        <w:rPr>
          <w:spacing w:val="31"/>
          <w:sz w:val="20"/>
          <w:vertAlign w:val="baseline"/>
        </w:rPr>
        <w:t xml:space="preserve">转染 </w:t>
      </w:r>
      <w:r>
        <w:rPr>
          <w:rFonts w:ascii="Arial" w:hAnsi="Arial" w:eastAsia="Arial"/>
          <w:sz w:val="20"/>
          <w:vertAlign w:val="baseline"/>
        </w:rPr>
        <w:t>miRNA</w:t>
      </w:r>
      <w:r>
        <w:rPr>
          <w:rFonts w:ascii="Arial" w:hAnsi="Arial" w:eastAsia="Arial"/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产品用量参考</w:t>
      </w:r>
    </w:p>
    <w:p>
      <w:pPr>
        <w:pStyle w:val="5"/>
        <w:spacing w:after="4"/>
        <w:ind w:left="2160" w:right="2214"/>
        <w:jc w:val="center"/>
        <w:rPr>
          <w:rFonts w:ascii="Arial" w:hAnsi="Arial" w:eastAsia="Arial"/>
        </w:rPr>
      </w:pPr>
      <w:r>
        <w:rPr>
          <w:rFonts w:ascii="Arial" w:hAnsi="Arial" w:eastAsia="Arial"/>
        </w:rPr>
        <w:t>V1</w:t>
      </w:r>
      <w:r>
        <w:t>：完全或不完全培养基；</w:t>
      </w:r>
      <w:r>
        <w:rPr>
          <w:rFonts w:ascii="Arial" w:hAnsi="Arial" w:eastAsia="Arial"/>
        </w:rPr>
        <w:t>v2: Opti-MEM® I (</w:t>
      </w:r>
      <w:r>
        <w:t>无血清、无抗生素，转染专用</w:t>
      </w:r>
      <w:r>
        <w:rPr>
          <w:rFonts w:ascii="Arial" w:hAnsi="Arial" w:eastAsia="Arial"/>
        </w:rPr>
        <w:t>)</w:t>
      </w:r>
    </w:p>
    <w:tbl>
      <w:tblPr>
        <w:tblStyle w:val="6"/>
        <w:tblW w:w="0" w:type="auto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693"/>
        <w:gridCol w:w="1419"/>
        <w:gridCol w:w="1553"/>
        <w:gridCol w:w="1588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shd w:val="clear" w:color="auto" w:fill="31859B"/>
          </w:tcPr>
          <w:p>
            <w:pPr>
              <w:pStyle w:val="10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31859B"/>
          </w:tcPr>
          <w:p>
            <w:pPr>
              <w:pStyle w:val="10"/>
              <w:spacing w:before="29" w:line="250" w:lineRule="exact"/>
              <w:ind w:left="19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每孔中总体积(v1+v2+v2)</w:t>
            </w:r>
          </w:p>
        </w:tc>
        <w:tc>
          <w:tcPr>
            <w:tcW w:w="1419" w:type="dxa"/>
            <w:shd w:val="clear" w:color="auto" w:fill="31859B"/>
          </w:tcPr>
          <w:p>
            <w:pPr>
              <w:pStyle w:val="10"/>
              <w:spacing w:before="29" w:line="250" w:lineRule="exact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miRNA 终浓度</w:t>
            </w:r>
          </w:p>
        </w:tc>
        <w:tc>
          <w:tcPr>
            <w:tcW w:w="1553" w:type="dxa"/>
            <w:shd w:val="clear" w:color="auto" w:fill="31859B"/>
          </w:tcPr>
          <w:p>
            <w:pPr>
              <w:pStyle w:val="10"/>
              <w:spacing w:before="29" w:line="250" w:lineRule="exact"/>
              <w:ind w:left="30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miRNA 产品</w:t>
            </w:r>
          </w:p>
        </w:tc>
        <w:tc>
          <w:tcPr>
            <w:tcW w:w="1588" w:type="dxa"/>
            <w:shd w:val="clear" w:color="auto" w:fill="31859B"/>
          </w:tcPr>
          <w:p>
            <w:pPr>
              <w:pStyle w:val="10"/>
              <w:spacing w:before="29" w:line="250" w:lineRule="exact"/>
              <w:ind w:left="2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lipo2000/孔</w:t>
            </w:r>
          </w:p>
        </w:tc>
        <w:tc>
          <w:tcPr>
            <w:tcW w:w="1538" w:type="dxa"/>
            <w:shd w:val="clear" w:color="auto" w:fill="31859B"/>
          </w:tcPr>
          <w:p>
            <w:pPr>
              <w:pStyle w:val="10"/>
              <w:spacing w:before="29" w:line="250" w:lineRule="exact"/>
              <w:ind w:left="215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黑体" w:hAnsi="黑体" w:eastAsia="黑体"/>
                <w:color w:val="FFFFFF"/>
                <w:sz w:val="21"/>
              </w:rPr>
              <w:t>DNA 共转染</w:t>
            </w:r>
            <w:r>
              <w:rPr>
                <w:rFonts w:hint="eastAsia" w:ascii="宋体" w:hAnsi="宋体" w:eastAsia="宋体"/>
                <w:color w:val="FFFFFF"/>
                <w:sz w:val="21"/>
              </w:rPr>
              <w:t>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114"/>
              <w:rPr>
                <w:sz w:val="20"/>
              </w:rPr>
            </w:pPr>
            <w:r>
              <w:rPr>
                <w:sz w:val="20"/>
              </w:rPr>
              <w:t>96-well</w:t>
            </w:r>
          </w:p>
        </w:tc>
        <w:tc>
          <w:tcPr>
            <w:tcW w:w="269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1419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55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0.5µl</w:t>
            </w:r>
          </w:p>
        </w:tc>
        <w:tc>
          <w:tcPr>
            <w:tcW w:w="158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3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10~100ng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38" w:type="dxa"/>
          </w:tcPr>
          <w:p>
            <w:pPr>
              <w:pStyle w:val="10"/>
              <w:ind w:left="104"/>
              <w:rPr>
                <w:sz w:val="18"/>
              </w:rPr>
            </w:pPr>
            <w:r>
              <w:rPr>
                <w:sz w:val="18"/>
              </w:rPr>
              <w:t>10~100ng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0.15µl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38" w:type="dxa"/>
          </w:tcPr>
          <w:p>
            <w:pPr>
              <w:pStyle w:val="10"/>
              <w:ind w:left="104"/>
              <w:rPr>
                <w:sz w:val="18"/>
              </w:rPr>
            </w:pPr>
            <w:r>
              <w:rPr>
                <w:sz w:val="18"/>
              </w:rPr>
              <w:t>10~100ng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1419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0.1µl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38" w:type="dxa"/>
          </w:tcPr>
          <w:p>
            <w:pPr>
              <w:pStyle w:val="10"/>
              <w:ind w:left="104"/>
              <w:rPr>
                <w:sz w:val="18"/>
              </w:rPr>
            </w:pPr>
            <w:r>
              <w:rPr>
                <w:sz w:val="18"/>
              </w:rPr>
              <w:t>10~100ng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0.05µl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38" w:type="dxa"/>
          </w:tcPr>
          <w:p>
            <w:pPr>
              <w:pStyle w:val="10"/>
              <w:ind w:left="104"/>
              <w:rPr>
                <w:sz w:val="18"/>
              </w:rPr>
            </w:pPr>
            <w:r>
              <w:rPr>
                <w:sz w:val="18"/>
              </w:rPr>
              <w:t>10~100ng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24-well</w:t>
            </w:r>
          </w:p>
          <w:p>
            <w:pPr>
              <w:pStyle w:val="10"/>
              <w:spacing w:before="52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*</w:t>
            </w:r>
          </w:p>
        </w:tc>
        <w:tc>
          <w:tcPr>
            <w:tcW w:w="269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1419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55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2.5µl</w:t>
            </w:r>
          </w:p>
        </w:tc>
        <w:tc>
          <w:tcPr>
            <w:tcW w:w="158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53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100~200ng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1.25µl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53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100~200ng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0.75µl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53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100~200ng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0.5µl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53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100~200ng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53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100~200ng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114"/>
              <w:rPr>
                <w:sz w:val="20"/>
              </w:rPr>
            </w:pPr>
            <w:r>
              <w:rPr>
                <w:sz w:val="20"/>
              </w:rPr>
              <w:t>12-well</w:t>
            </w:r>
          </w:p>
        </w:tc>
        <w:tc>
          <w:tcPr>
            <w:tcW w:w="269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1419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55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8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53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200~400ng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2.5µl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0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200~400ng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1.5µl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0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200~400ng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1.0µl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1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200~400ng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0.5µl</w:t>
            </w:r>
          </w:p>
        </w:tc>
        <w:tc>
          <w:tcPr>
            <w:tcW w:w="1588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0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200~400ng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170"/>
              <w:rPr>
                <w:sz w:val="20"/>
              </w:rPr>
            </w:pPr>
            <w:r>
              <w:rPr>
                <w:sz w:val="20"/>
              </w:rPr>
              <w:t>6-well</w:t>
            </w:r>
          </w:p>
        </w:tc>
        <w:tc>
          <w:tcPr>
            <w:tcW w:w="269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1419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553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10µl</w:t>
            </w:r>
          </w:p>
        </w:tc>
        <w:tc>
          <w:tcPr>
            <w:tcW w:w="1588" w:type="dxa"/>
            <w:shd w:val="clear" w:color="auto" w:fill="B6DDE8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38" w:type="dxa"/>
            <w:shd w:val="clear" w:color="auto" w:fill="B6DDE8"/>
          </w:tcPr>
          <w:p>
            <w:pPr>
              <w:pStyle w:val="10"/>
              <w:spacing w:before="40" w:line="240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500~1000ng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1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500~1000ng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3µl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0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500~1000ng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0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500~1000ng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1419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553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58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538" w:type="dxa"/>
          </w:tcPr>
          <w:p>
            <w:pPr>
              <w:pStyle w:val="10"/>
              <w:spacing w:before="40" w:line="241" w:lineRule="exact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500~1000ng</w:t>
            </w:r>
          </w:p>
        </w:tc>
      </w:tr>
    </w:tbl>
    <w:p>
      <w:pPr>
        <w:pStyle w:val="5"/>
        <w:spacing w:before="40"/>
        <w:ind w:left="1197"/>
      </w:pPr>
      <w:r>
        <w:t xml:space="preserve">*：实验参考用量示例; </w:t>
      </w:r>
      <w:r>
        <w:rPr>
          <w:rFonts w:hint="eastAsia" w:ascii="宋体" w:hAnsi="宋体" w:eastAsia="宋体"/>
        </w:rPr>
        <w:t>†</w:t>
      </w:r>
      <w:r>
        <w:t>：当实验涉及 DNA 共转时参考。</w:t>
      </w:r>
    </w:p>
    <w:p>
      <w:pPr>
        <w:pStyle w:val="3"/>
        <w:numPr>
          <w:ilvl w:val="0"/>
          <w:numId w:val="4"/>
        </w:numPr>
        <w:tabs>
          <w:tab w:val="left" w:pos="1138"/>
        </w:tabs>
        <w:spacing w:before="23" w:after="0" w:line="240" w:lineRule="auto"/>
        <w:ind w:left="1137" w:right="0" w:hanging="361"/>
        <w:jc w:val="left"/>
      </w:pPr>
      <w:r>
        <w:t>效果检测：</w:t>
      </w:r>
    </w:p>
    <w:p>
      <w:pPr>
        <w:pStyle w:val="5"/>
        <w:spacing w:before="39" w:line="280" w:lineRule="auto"/>
        <w:ind w:left="777" w:right="201"/>
      </w:pPr>
      <w:r>
        <w:rPr>
          <w:rFonts w:ascii="Arial" w:eastAsia="Arial"/>
        </w:rPr>
        <w:t xml:space="preserve">miRNA agomir </w:t>
      </w:r>
      <w:r>
        <w:rPr>
          <w:spacing w:val="49"/>
        </w:rPr>
        <w:t>和</w:t>
      </w:r>
      <w:r>
        <w:rPr>
          <w:rFonts w:ascii="Arial" w:eastAsia="Arial"/>
        </w:rPr>
        <w:t xml:space="preserve">antagomir </w:t>
      </w:r>
      <w:r>
        <w:rPr>
          <w:spacing w:val="-3"/>
        </w:rPr>
        <w:t xml:space="preserve">作用效果往往通过功能方面检测，转染完成后 </w:t>
      </w:r>
      <w:r>
        <w:rPr>
          <w:rFonts w:ascii="Arial" w:eastAsia="Arial"/>
        </w:rPr>
        <w:t xml:space="preserve">2 4 ~ 7 2 </w:t>
      </w:r>
      <w:r>
        <w:t>小时均可进行检测，最佳检测</w:t>
      </w:r>
      <w:r>
        <w:rPr>
          <w:spacing w:val="-5"/>
        </w:rPr>
        <w:t xml:space="preserve">时间与细胞类型及研究的 </w:t>
      </w:r>
      <w:r>
        <w:rPr>
          <w:rFonts w:ascii="Arial" w:eastAsia="Arial"/>
        </w:rPr>
        <w:t xml:space="preserve">miRNA </w:t>
      </w:r>
      <w:r>
        <w:rPr>
          <w:spacing w:val="-5"/>
        </w:rPr>
        <w:t xml:space="preserve">有关。以下为几种常用的 </w:t>
      </w:r>
      <w:r>
        <w:rPr>
          <w:rFonts w:ascii="Arial" w:eastAsia="Arial"/>
        </w:rPr>
        <w:t xml:space="preserve">miRNA </w:t>
      </w:r>
      <w:r>
        <w:t>效果检测方法：</w:t>
      </w:r>
    </w:p>
    <w:p>
      <w:pPr>
        <w:pStyle w:val="9"/>
        <w:numPr>
          <w:ilvl w:val="0"/>
          <w:numId w:val="5"/>
        </w:numPr>
        <w:tabs>
          <w:tab w:val="left" w:pos="1327"/>
          <w:tab w:val="left" w:pos="1328"/>
        </w:tabs>
        <w:spacing w:before="0" w:after="0" w:line="240" w:lineRule="auto"/>
        <w:ind w:left="1327" w:right="0" w:hanging="421"/>
        <w:jc w:val="left"/>
        <w:rPr>
          <w:sz w:val="20"/>
        </w:rPr>
      </w:pPr>
      <w:r>
        <w:rPr>
          <w:spacing w:val="-18"/>
          <w:sz w:val="20"/>
        </w:rPr>
        <w:t xml:space="preserve">使用 </w:t>
      </w:r>
      <w:r>
        <w:rPr>
          <w:rFonts w:ascii="Arial" w:eastAsia="Arial"/>
          <w:spacing w:val="-14"/>
          <w:sz w:val="20"/>
        </w:rPr>
        <w:t>qPCR</w:t>
      </w:r>
      <w:r>
        <w:rPr>
          <w:spacing w:val="-12"/>
          <w:sz w:val="20"/>
        </w:rPr>
        <w:t xml:space="preserve">，基因芯片，新一代测序等方法检测靶基因 </w:t>
      </w:r>
      <w:r>
        <w:rPr>
          <w:sz w:val="20"/>
        </w:rPr>
        <w:t>mRNA</w:t>
      </w:r>
      <w:r>
        <w:rPr>
          <w:spacing w:val="-12"/>
          <w:sz w:val="20"/>
        </w:rPr>
        <w:t xml:space="preserve"> 转录水平，甚至全基因表达图谱是否发生相应改变；</w:t>
      </w:r>
    </w:p>
    <w:p>
      <w:pPr>
        <w:pStyle w:val="9"/>
        <w:numPr>
          <w:ilvl w:val="0"/>
          <w:numId w:val="5"/>
        </w:numPr>
        <w:tabs>
          <w:tab w:val="left" w:pos="1327"/>
          <w:tab w:val="left" w:pos="1328"/>
        </w:tabs>
        <w:spacing w:before="44" w:after="0" w:line="240" w:lineRule="auto"/>
        <w:ind w:left="1327" w:right="0" w:hanging="421"/>
        <w:jc w:val="left"/>
        <w:rPr>
          <w:sz w:val="20"/>
        </w:rPr>
      </w:pPr>
      <w:r>
        <w:rPr>
          <w:spacing w:val="24"/>
          <w:sz w:val="20"/>
        </w:rPr>
        <w:t>使用</w:t>
      </w:r>
      <w:r>
        <w:rPr>
          <w:rFonts w:ascii="Arial" w:eastAsia="Arial"/>
          <w:sz w:val="20"/>
        </w:rPr>
        <w:t>Western</w:t>
      </w:r>
      <w:r>
        <w:rPr>
          <w:rFonts w:ascii="Arial" w:eastAsia="Arial"/>
          <w:spacing w:val="-3"/>
          <w:sz w:val="20"/>
        </w:rPr>
        <w:t xml:space="preserve"> </w:t>
      </w:r>
      <w:r>
        <w:rPr>
          <w:rFonts w:ascii="Arial" w:eastAsia="Arial"/>
          <w:sz w:val="20"/>
        </w:rPr>
        <w:t>Blot</w:t>
      </w:r>
      <w:r>
        <w:rPr>
          <w:sz w:val="20"/>
        </w:rPr>
        <w:t>，蛋白芯片等方法检测靶基因的蛋白水平是否发生相应改变；</w:t>
      </w:r>
    </w:p>
    <w:p>
      <w:pPr>
        <w:pStyle w:val="9"/>
        <w:numPr>
          <w:ilvl w:val="0"/>
          <w:numId w:val="5"/>
        </w:numPr>
        <w:tabs>
          <w:tab w:val="left" w:pos="1327"/>
          <w:tab w:val="left" w:pos="1328"/>
        </w:tabs>
        <w:spacing w:before="43" w:after="0" w:line="240" w:lineRule="auto"/>
        <w:ind w:left="1327" w:right="0" w:hanging="421"/>
        <w:jc w:val="left"/>
        <w:rPr>
          <w:sz w:val="20"/>
        </w:rPr>
      </w:pPr>
      <w:r>
        <w:rPr>
          <w:sz w:val="20"/>
        </w:rPr>
        <w:t>检测细胞功能（细胞增殖、细胞凋亡、细胞迁移等）是否发生相应变化；</w:t>
      </w:r>
    </w:p>
    <w:p>
      <w:pPr>
        <w:pStyle w:val="9"/>
        <w:numPr>
          <w:ilvl w:val="0"/>
          <w:numId w:val="5"/>
        </w:numPr>
        <w:tabs>
          <w:tab w:val="left" w:pos="1327"/>
          <w:tab w:val="left" w:pos="1328"/>
        </w:tabs>
        <w:spacing w:before="44" w:after="0" w:line="240" w:lineRule="auto"/>
        <w:ind w:left="1327" w:right="0" w:hanging="421"/>
        <w:jc w:val="left"/>
        <w:rPr>
          <w:sz w:val="20"/>
        </w:rPr>
      </w:pPr>
      <w:r>
        <w:rPr>
          <w:spacing w:val="-9"/>
          <w:sz w:val="20"/>
        </w:rPr>
        <w:t xml:space="preserve">通过靶基因 </w:t>
      </w:r>
      <w:r>
        <w:rPr>
          <w:sz w:val="20"/>
        </w:rPr>
        <w:t>siRNA</w:t>
      </w:r>
      <w:r>
        <w:rPr>
          <w:spacing w:val="-21"/>
          <w:sz w:val="20"/>
        </w:rPr>
        <w:t xml:space="preserve"> 来确认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12"/>
          <w:sz w:val="20"/>
        </w:rPr>
        <w:t xml:space="preserve"> </w:t>
      </w:r>
      <w:r>
        <w:rPr>
          <w:rFonts w:ascii="Arial" w:eastAsia="Arial"/>
          <w:sz w:val="20"/>
        </w:rPr>
        <w:t>mimic/inhibitor</w:t>
      </w:r>
      <w:r>
        <w:rPr>
          <w:rFonts w:ascii="Arial" w:eastAsia="Arial"/>
          <w:spacing w:val="-7"/>
          <w:sz w:val="20"/>
        </w:rPr>
        <w:t xml:space="preserve"> </w:t>
      </w:r>
      <w:r>
        <w:rPr>
          <w:sz w:val="20"/>
        </w:rPr>
        <w:t>的作用；</w:t>
      </w:r>
    </w:p>
    <w:p>
      <w:pPr>
        <w:pStyle w:val="9"/>
        <w:numPr>
          <w:ilvl w:val="0"/>
          <w:numId w:val="5"/>
        </w:numPr>
        <w:tabs>
          <w:tab w:val="left" w:pos="1327"/>
          <w:tab w:val="left" w:pos="1328"/>
        </w:tabs>
        <w:spacing w:before="34" w:after="0" w:line="276" w:lineRule="auto"/>
        <w:ind w:left="1327" w:right="201" w:hanging="421"/>
        <w:jc w:val="left"/>
        <w:rPr>
          <w:sz w:val="21"/>
        </w:rPr>
      </w:pPr>
      <w:r>
        <w:rPr>
          <w:spacing w:val="-14"/>
          <w:sz w:val="20"/>
        </w:rPr>
        <w:t xml:space="preserve">通过与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10"/>
          <w:sz w:val="20"/>
        </w:rPr>
        <w:t xml:space="preserve"> </w:t>
      </w:r>
      <w:r>
        <w:rPr>
          <w:sz w:val="20"/>
        </w:rPr>
        <w:t>靶基因双荧光素酶报告载体（Biomics</w:t>
      </w:r>
      <w:r>
        <w:rPr>
          <w:spacing w:val="-8"/>
          <w:sz w:val="20"/>
        </w:rPr>
        <w:t xml:space="preserve"> 可提供构建服务</w:t>
      </w:r>
      <w:r>
        <w:rPr>
          <w:sz w:val="20"/>
        </w:rPr>
        <w:t>）</w:t>
      </w:r>
      <w:r>
        <w:rPr>
          <w:spacing w:val="-9"/>
          <w:sz w:val="20"/>
        </w:rPr>
        <w:t xml:space="preserve">共转来验证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23"/>
          <w:sz w:val="20"/>
        </w:rPr>
        <w:t xml:space="preserve"> </w:t>
      </w:r>
      <w:r>
        <w:rPr>
          <w:rFonts w:ascii="Arial" w:eastAsia="Arial"/>
          <w:sz w:val="20"/>
        </w:rPr>
        <w:t>mimic/inhibitor</w:t>
      </w:r>
      <w:r>
        <w:rPr>
          <w:rFonts w:ascii="Arial" w:eastAsia="Arial"/>
          <w:spacing w:val="-10"/>
          <w:sz w:val="20"/>
        </w:rPr>
        <w:t xml:space="preserve"> </w:t>
      </w:r>
      <w:r>
        <w:rPr>
          <w:sz w:val="20"/>
        </w:rPr>
        <w:t>的作用</w:t>
      </w:r>
    </w:p>
    <w:p>
      <w:pPr>
        <w:pStyle w:val="5"/>
        <w:spacing w:before="8"/>
        <w:rPr>
          <w:sz w:val="17"/>
        </w:rPr>
      </w:pPr>
    </w:p>
    <w:p>
      <w:pPr>
        <w:pStyle w:val="2"/>
      </w:pPr>
      <w:r>
        <w:rPr>
          <w:color w:val="0070C0"/>
        </w:rPr>
        <w:t>动物实验：</w:t>
      </w:r>
    </w:p>
    <w:p>
      <w:pPr>
        <w:pStyle w:val="3"/>
        <w:spacing w:before="1"/>
        <w:ind w:left="777" w:firstLine="0"/>
      </w:pPr>
      <w:r>
        <w:rPr>
          <w:rFonts w:ascii="Arial" w:eastAsia="Arial"/>
          <w:color w:val="00B050"/>
        </w:rPr>
        <w:t xml:space="preserve">Biomics </w:t>
      </w:r>
      <w:r>
        <w:rPr>
          <w:color w:val="00B050"/>
        </w:rPr>
        <w:t xml:space="preserve">提供动物实验用的各种修饰 </w:t>
      </w:r>
      <w:r>
        <w:rPr>
          <w:rFonts w:ascii="Arial" w:eastAsia="Arial"/>
          <w:color w:val="00B050"/>
        </w:rPr>
        <w:t xml:space="preserve">miRNA </w:t>
      </w:r>
      <w:r>
        <w:rPr>
          <w:color w:val="00B050"/>
        </w:rPr>
        <w:t xml:space="preserve">产品及脂质体包载 </w:t>
      </w:r>
      <w:r>
        <w:rPr>
          <w:rFonts w:ascii="Arial" w:eastAsia="Arial"/>
          <w:color w:val="00B050"/>
        </w:rPr>
        <w:t xml:space="preserve">RNA </w:t>
      </w:r>
      <w:r>
        <w:rPr>
          <w:color w:val="00B050"/>
        </w:rPr>
        <w:t>制剂服务。</w:t>
      </w:r>
    </w:p>
    <w:p>
      <w:pPr>
        <w:pStyle w:val="9"/>
        <w:numPr>
          <w:ilvl w:val="0"/>
          <w:numId w:val="6"/>
        </w:numPr>
        <w:tabs>
          <w:tab w:val="left" w:pos="988"/>
        </w:tabs>
        <w:spacing w:before="38" w:after="0" w:line="240" w:lineRule="auto"/>
        <w:ind w:left="987" w:right="0" w:hanging="211"/>
        <w:jc w:val="left"/>
        <w:rPr>
          <w:sz w:val="18"/>
        </w:rPr>
      </w:pP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7"/>
          <w:sz w:val="20"/>
        </w:rPr>
        <w:t xml:space="preserve"> </w:t>
      </w:r>
      <w:r>
        <w:rPr>
          <w:spacing w:val="-3"/>
          <w:sz w:val="20"/>
        </w:rPr>
        <w:t xml:space="preserve">动物实验的体内环境复杂，实验周期长，对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7"/>
          <w:sz w:val="20"/>
        </w:rPr>
        <w:t xml:space="preserve"> </w:t>
      </w:r>
      <w:r>
        <w:rPr>
          <w:sz w:val="20"/>
        </w:rPr>
        <w:t>产品的稳定性提出了更高的要求。</w:t>
      </w:r>
    </w:p>
    <w:p>
      <w:pPr>
        <w:pStyle w:val="9"/>
        <w:numPr>
          <w:ilvl w:val="0"/>
          <w:numId w:val="6"/>
        </w:numPr>
        <w:tabs>
          <w:tab w:val="left" w:pos="989"/>
        </w:tabs>
        <w:spacing w:before="44" w:after="0" w:line="280" w:lineRule="auto"/>
        <w:ind w:left="1197" w:right="201" w:hanging="420"/>
        <w:jc w:val="left"/>
        <w:rPr>
          <w:rFonts w:ascii="Arial" w:eastAsia="Arial"/>
          <w:sz w:val="20"/>
        </w:rPr>
      </w:pPr>
      <w:r>
        <w:rPr>
          <w:rFonts w:ascii="Arial" w:eastAsia="Arial"/>
          <w:sz w:val="20"/>
        </w:rPr>
        <w:t>m i R N</w:t>
      </w:r>
      <w:r>
        <w:rPr>
          <w:rFonts w:ascii="Arial" w:eastAsia="Arial"/>
          <w:spacing w:val="1"/>
          <w:sz w:val="20"/>
        </w:rPr>
        <w:t xml:space="preserve"> </w:t>
      </w:r>
      <w:r>
        <w:rPr>
          <w:rFonts w:ascii="Arial" w:eastAsia="Arial"/>
          <w:sz w:val="20"/>
        </w:rPr>
        <w:t>A</w:t>
      </w:r>
      <w:r>
        <w:rPr>
          <w:rFonts w:ascii="Arial" w:eastAsia="Arial"/>
          <w:spacing w:val="33"/>
          <w:sz w:val="20"/>
        </w:rPr>
        <w:t xml:space="preserve"> </w:t>
      </w:r>
      <w:r>
        <w:rPr>
          <w:sz w:val="20"/>
        </w:rPr>
        <w:t>动物实验方法主要分为两类，局部作用和全身作用。Biomics</w:t>
      </w:r>
      <w:r>
        <w:rPr>
          <w:spacing w:val="-8"/>
          <w:sz w:val="20"/>
        </w:rPr>
        <w:t xml:space="preserve"> 推荐采用稳定性更好、可靠性更高的化学</w:t>
      </w:r>
      <w:r>
        <w:rPr>
          <w:spacing w:val="-23"/>
          <w:sz w:val="20"/>
        </w:rPr>
        <w:t xml:space="preserve">修饰 </w:t>
      </w:r>
      <w:r>
        <w:rPr>
          <w:rFonts w:ascii="Arial" w:eastAsia="Arial"/>
          <w:sz w:val="20"/>
        </w:rPr>
        <w:t>miRNA</w:t>
      </w:r>
      <w:r>
        <w:rPr>
          <w:rFonts w:ascii="Arial" w:eastAsia="Arial"/>
          <w:spacing w:val="-15"/>
          <w:sz w:val="20"/>
        </w:rPr>
        <w:t xml:space="preserve"> </w:t>
      </w:r>
      <w:r>
        <w:rPr>
          <w:rFonts w:ascii="Arial" w:eastAsia="Arial"/>
          <w:sz w:val="20"/>
        </w:rPr>
        <w:t>agomir</w:t>
      </w:r>
      <w:r>
        <w:rPr>
          <w:rFonts w:ascii="Arial" w:eastAsia="Arial"/>
          <w:spacing w:val="-8"/>
          <w:sz w:val="20"/>
        </w:rPr>
        <w:t xml:space="preserve"> </w:t>
      </w:r>
      <w:r>
        <w:rPr>
          <w:spacing w:val="-26"/>
          <w:sz w:val="20"/>
        </w:rPr>
        <w:t xml:space="preserve">和 </w:t>
      </w:r>
      <w:r>
        <w:rPr>
          <w:rFonts w:ascii="Arial" w:eastAsia="Arial"/>
          <w:sz w:val="20"/>
        </w:rPr>
        <w:t>antagomir</w:t>
      </w:r>
      <w:r>
        <w:rPr>
          <w:rFonts w:ascii="Arial" w:eastAsia="Arial"/>
          <w:spacing w:val="-7"/>
          <w:sz w:val="20"/>
        </w:rPr>
        <w:t xml:space="preserve"> </w:t>
      </w:r>
      <w:r>
        <w:rPr>
          <w:sz w:val="20"/>
        </w:rPr>
        <w:t>进行动物实验或脂质体包载的方式，具体方案需要依据实验目的及条件而定</w:t>
      </w:r>
    </w:p>
    <w:sectPr>
      <w:pgSz w:w="11910" w:h="16840"/>
      <w:pgMar w:top="1040" w:right="360" w:bottom="1300" w:left="420" w:header="215" w:footer="11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shape id="_x0000_s2050" o:spid="_x0000_s2050" o:spt="202" type="#_x0000_t202" style="position:absolute;left:0pt;margin-left:461.8pt;margin-top:775.75pt;height:33pt;width:74.7pt;mso-position-horizontal-relative:page;mso-position-vertical-relative:page;z-index:-2521978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left="20" w:right="18" w:firstLine="253"/>
                  <w:jc w:val="right"/>
                  <w:rPr>
                    <w:rFonts w:ascii="Calibri"/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drawing>
        <wp:inline distT="0" distB="0" distL="114300" distR="114300">
          <wp:extent cx="1028700" cy="618490"/>
          <wp:effectExtent l="0" t="0" r="0" b="1016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2049" o:spid="_x0000_s2049" o:spt="202" type="#_x0000_t202" style="position:absolute;left:0pt;margin-left:417.4pt;margin-top:22.85pt;height:27.9pt;width:148.9pt;mso-position-horizontal-relative:page;mso-position-vertical-relative:page;z-index:-2521989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"/>
                  <w:ind w:right="0"/>
                  <w:jc w:val="left"/>
                  <w:rPr>
                    <w:rFonts w:ascii="Calibri"/>
                    <w:b/>
                    <w:sz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327" w:hanging="420"/>
        <w:jc w:val="left"/>
      </w:pPr>
      <w:rPr>
        <w:rFonts w:hint="default"/>
        <w:w w:val="10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2300" w:hanging="420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3280" w:hanging="42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4261" w:hanging="42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241" w:hanging="42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222" w:hanging="42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202" w:hanging="42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183" w:hanging="42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163" w:hanging="420"/>
      </w:pPr>
      <w:rPr>
        <w:rFonts w:hint="default"/>
        <w:lang w:val="ca-ES" w:eastAsia="ca-ES" w:bidi="ca-E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）"/>
      <w:lvlJc w:val="left"/>
      <w:pPr>
        <w:ind w:left="1137" w:hanging="360"/>
        <w:jc w:val="left"/>
      </w:pPr>
      <w:rPr>
        <w:rFonts w:hint="default" w:ascii="黑体" w:hAnsi="黑体" w:eastAsia="黑体" w:cs="黑体"/>
        <w:b/>
        <w:bCs/>
        <w:spacing w:val="0"/>
        <w:w w:val="99"/>
        <w:sz w:val="22"/>
        <w:szCs w:val="22"/>
        <w:lang w:val="ca-ES" w:eastAsia="ca-ES" w:bidi="ca-ES"/>
      </w:rPr>
    </w:lvl>
    <w:lvl w:ilvl="1" w:tentative="0">
      <w:start w:val="1"/>
      <w:numFmt w:val="upperLetter"/>
      <w:lvlText w:val="%2."/>
      <w:lvlJc w:val="left"/>
      <w:pPr>
        <w:ind w:left="1407" w:hanging="270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480" w:hanging="27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560" w:hanging="27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4641" w:hanging="27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5721" w:hanging="27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6802" w:hanging="27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7882" w:hanging="27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8963" w:hanging="270"/>
      </w:pPr>
      <w:rPr>
        <w:rFonts w:hint="default"/>
        <w:lang w:val="ca-ES" w:eastAsia="ca-ES" w:bidi="ca-E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927" w:hanging="360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1940" w:hanging="360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960" w:hanging="36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981" w:hanging="36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001" w:hanging="36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022" w:hanging="36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042" w:hanging="36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063" w:hanging="36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083" w:hanging="360"/>
      </w:pPr>
      <w:rPr>
        <w:rFonts w:hint="default"/>
        <w:lang w:val="ca-ES" w:eastAsia="ca-ES" w:bidi="ca-E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927" w:hanging="361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1940" w:hanging="361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960" w:hanging="361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981" w:hanging="361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001" w:hanging="361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022" w:hanging="361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042" w:hanging="361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063" w:hanging="361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083" w:hanging="361"/>
      </w:pPr>
      <w:rPr>
        <w:rFonts w:hint="default"/>
        <w:lang w:val="ca-ES" w:eastAsia="ca-ES" w:bidi="ca-ES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987" w:hanging="211"/>
        <w:jc w:val="left"/>
      </w:pPr>
      <w:rPr>
        <w:rFonts w:hint="default"/>
        <w:w w:val="10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1994" w:hanging="211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3008" w:hanging="211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4023" w:hanging="211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037" w:hanging="211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052" w:hanging="211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066" w:hanging="211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081" w:hanging="211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095" w:hanging="211"/>
      </w:pPr>
      <w:rPr>
        <w:rFonts w:hint="default"/>
        <w:lang w:val="ca-ES" w:eastAsia="ca-ES" w:bidi="ca-ES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17" w:hanging="360"/>
        <w:jc w:val="left"/>
      </w:pPr>
      <w:rPr>
        <w:rFonts w:hint="default" w:ascii="黑体" w:hAnsi="黑体" w:eastAsia="黑体" w:cs="黑体"/>
        <w:b/>
        <w:bCs/>
        <w:w w:val="99"/>
        <w:sz w:val="21"/>
        <w:szCs w:val="21"/>
        <w:lang w:val="ca-ES" w:eastAsia="ca-ES" w:bidi="ca-ES"/>
      </w:rPr>
    </w:lvl>
    <w:lvl w:ilvl="1" w:tentative="0">
      <w:start w:val="1"/>
      <w:numFmt w:val="decimal"/>
      <w:lvlText w:val="%2)"/>
      <w:lvlJc w:val="left"/>
      <w:pPr>
        <w:ind w:left="987" w:hanging="420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107" w:hanging="42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234" w:hanging="42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4361" w:hanging="42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5488" w:hanging="42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6615" w:hanging="42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7742" w:hanging="42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8870" w:hanging="420"/>
      </w:pPr>
      <w:rPr>
        <w:rFonts w:hint="default"/>
        <w:lang w:val="ca-ES" w:eastAsia="ca-ES" w:bidi="ca-E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C1F1AD7"/>
    <w:rsid w:val="0C9F686E"/>
    <w:rsid w:val="15F559A5"/>
    <w:rsid w:val="17EE4B43"/>
    <w:rsid w:val="1A457563"/>
    <w:rsid w:val="22564AA6"/>
    <w:rsid w:val="2D7B0B7B"/>
    <w:rsid w:val="3E646913"/>
    <w:rsid w:val="54F427D3"/>
    <w:rsid w:val="6B184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147"/>
      <w:outlineLvl w:val="1"/>
    </w:pPr>
    <w:rPr>
      <w:rFonts w:ascii="黑体" w:hAnsi="黑体" w:eastAsia="黑体" w:cs="黑体"/>
      <w:b/>
      <w:bCs/>
      <w:sz w:val="28"/>
      <w:szCs w:val="28"/>
      <w:lang w:val="ca-ES" w:eastAsia="ca-ES" w:bidi="ca-ES"/>
    </w:rPr>
  </w:style>
  <w:style w:type="paragraph" w:styleId="3">
    <w:name w:val="heading 2"/>
    <w:basedOn w:val="1"/>
    <w:next w:val="1"/>
    <w:qFormat/>
    <w:uiPriority w:val="1"/>
    <w:pPr>
      <w:spacing w:before="23"/>
      <w:ind w:left="1137" w:hanging="361"/>
      <w:outlineLvl w:val="2"/>
    </w:pPr>
    <w:rPr>
      <w:rFonts w:ascii="黑体" w:hAnsi="黑体" w:eastAsia="黑体" w:cs="黑体"/>
      <w:b/>
      <w:bCs/>
      <w:sz w:val="22"/>
      <w:szCs w:val="22"/>
      <w:lang w:val="ca-ES" w:eastAsia="ca-ES" w:bidi="ca-ES"/>
    </w:rPr>
  </w:style>
  <w:style w:type="paragraph" w:styleId="4">
    <w:name w:val="heading 3"/>
    <w:basedOn w:val="1"/>
    <w:next w:val="1"/>
    <w:qFormat/>
    <w:uiPriority w:val="1"/>
    <w:pPr>
      <w:ind w:left="717" w:hanging="361"/>
      <w:outlineLvl w:val="3"/>
    </w:pPr>
    <w:rPr>
      <w:rFonts w:ascii="黑体" w:hAnsi="黑体" w:eastAsia="黑体" w:cs="黑体"/>
      <w:b/>
      <w:bCs/>
      <w:sz w:val="21"/>
      <w:szCs w:val="21"/>
      <w:lang w:val="ca-ES" w:eastAsia="ca-ES" w:bidi="ca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黑体" w:hAnsi="黑体" w:eastAsia="黑体" w:cs="黑体"/>
      <w:sz w:val="20"/>
      <w:szCs w:val="20"/>
      <w:lang w:val="ca-ES" w:eastAsia="ca-ES" w:bidi="ca-E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4"/>
      <w:ind w:left="987" w:hanging="421"/>
    </w:pPr>
    <w:rPr>
      <w:rFonts w:ascii="黑体" w:hAnsi="黑体" w:eastAsia="黑体" w:cs="黑体"/>
      <w:lang w:val="ca-ES" w:eastAsia="ca-ES" w:bidi="ca-ES"/>
    </w:rPr>
  </w:style>
  <w:style w:type="paragraph" w:customStyle="1" w:styleId="10">
    <w:name w:val="Table Paragraph"/>
    <w:basedOn w:val="1"/>
    <w:qFormat/>
    <w:uiPriority w:val="1"/>
    <w:pPr>
      <w:spacing w:before="71"/>
      <w:ind w:left="107"/>
    </w:pPr>
    <w:rPr>
      <w:rFonts w:ascii="Arial" w:hAnsi="Arial" w:eastAsia="Arial" w:cs="Arial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2020-07-26T10:43:00Z</dcterms:created>
  <dc:creator>user</dc:creator>
  <cp:lastModifiedBy>李平</cp:lastModifiedBy>
  <dcterms:modified xsi:type="dcterms:W3CDTF">2020-07-26T10:48:02Z</dcterms:modified>
  <dc:title>Microsoft Word - miRNA使用说明-Biomics.doc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2020-07-26T00:00:00Z</vt:filetime>
  </property>
  <property fmtid="{D5CDD505-2E9C-101B-9397-08002B2CF9AE}" pid="5" name="KSOProductBuildVer">
    <vt:lpwstr>2052-11.1.0.9739</vt:lpwstr>
  </property>
</Properties>
</file>