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"/>
        <w:rPr>
          <w:rFonts w:ascii="Times New Roman"/>
          <w:sz w:val="4"/>
        </w:rPr>
      </w:pPr>
      <w:r>
        <w:drawing>
          <wp:inline distT="0" distB="0" distL="114300" distR="114300">
            <wp:extent cx="711835" cy="415925"/>
            <wp:effectExtent l="0" t="0" r="12065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20" w:lineRule="exact"/>
        <w:ind w:left="109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26" o:spid="_x0000_s1026" o:spt="203" style="height:0.75pt;width:541.7pt;" coordsize="10834,15">
            <o:lock v:ext="edit"/>
            <v:line id="_x0000_s1027" o:spid="_x0000_s1027" o:spt="20" style="position:absolute;left:0;top:7;height:0;width:10834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5"/>
        <w:spacing w:before="2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headerReference r:id="rId3" w:type="default"/>
          <w:footerReference r:id="rId4" w:type="default"/>
          <w:type w:val="continuous"/>
          <w:pgSz w:w="11910" w:h="16840"/>
          <w:pgMar w:top="601" w:right="360" w:bottom="1300" w:left="420" w:header="215" w:footer="1104" w:gutter="0"/>
        </w:sectPr>
      </w:pPr>
    </w:p>
    <w:p>
      <w:pPr>
        <w:pStyle w:val="5"/>
        <w:spacing w:before="4"/>
        <w:rPr>
          <w:rFonts w:ascii="Times New Roman"/>
          <w:sz w:val="38"/>
        </w:rPr>
      </w:pPr>
    </w:p>
    <w:p>
      <w:pPr>
        <w:pStyle w:val="2"/>
      </w:pPr>
      <w:r>
        <w:rPr>
          <w:color w:val="0070C0"/>
        </w:rPr>
        <w:t>产品简介</w:t>
      </w:r>
    </w:p>
    <w:p>
      <w:pPr>
        <w:spacing w:before="49"/>
        <w:ind w:left="147" w:right="0" w:firstLine="0"/>
        <w:jc w:val="left"/>
        <w:rPr>
          <w:b/>
          <w:sz w:val="36"/>
        </w:rPr>
      </w:pPr>
      <w:r>
        <w:br w:type="column"/>
      </w:r>
      <w:r>
        <w:rPr>
          <w:b/>
          <w:sz w:val="36"/>
        </w:rPr>
        <w:t>siRNA 产品使用说明</w:t>
      </w:r>
    </w:p>
    <w:p>
      <w:pPr>
        <w:spacing w:after="0"/>
        <w:jc w:val="left"/>
        <w:rPr>
          <w:sz w:val="36"/>
        </w:rPr>
        <w:sectPr>
          <w:type w:val="continuous"/>
          <w:pgSz w:w="11910" w:h="16840"/>
          <w:pgMar w:top="1000" w:right="360" w:bottom="1300" w:left="420" w:header="720" w:footer="720" w:gutter="0"/>
          <w:cols w:equalWidth="0" w:num="2">
            <w:col w:w="1313" w:space="2491"/>
            <w:col w:w="7326"/>
          </w:cols>
        </w:sectPr>
      </w:pPr>
    </w:p>
    <w:p>
      <w:pPr>
        <w:pStyle w:val="5"/>
        <w:spacing w:before="21"/>
        <w:ind w:left="447"/>
      </w:pPr>
      <w:r>
        <w:t xml:space="preserve">常规化学合成 </w:t>
      </w:r>
      <w:r>
        <w:rPr>
          <w:rFonts w:ascii="Arial" w:eastAsia="Arial"/>
        </w:rPr>
        <w:t xml:space="preserve">siRNA </w:t>
      </w:r>
      <w:r>
        <w:t>为 21～23nt 的双链小分子 RNA，产品为冻干粉形式的即用型试剂。</w:t>
      </w:r>
    </w:p>
    <w:p>
      <w:pPr>
        <w:pStyle w:val="5"/>
        <w:spacing w:before="8"/>
      </w:pPr>
    </w:p>
    <w:p>
      <w:pPr>
        <w:pStyle w:val="2"/>
      </w:pPr>
      <w:r>
        <w:rPr>
          <w:color w:val="0070C0"/>
        </w:rPr>
        <w:t>运输保存</w:t>
      </w:r>
    </w:p>
    <w:p>
      <w:pPr>
        <w:pStyle w:val="5"/>
        <w:spacing w:before="21"/>
        <w:ind w:left="447"/>
      </w:pPr>
      <w:r>
        <w:t>产品以冻干粉的形式常温运输。收到产品后，请于</w:t>
      </w:r>
      <w:r>
        <w:rPr>
          <w:rFonts w:ascii="Arial" w:hAnsi="Arial" w:eastAsia="Arial"/>
        </w:rPr>
        <w:t>-20</w:t>
      </w:r>
      <w:r>
        <w:rPr>
          <w:rFonts w:hint="eastAsia" w:ascii="宋体" w:hAnsi="宋体" w:eastAsia="宋体"/>
        </w:rPr>
        <w:t>℃</w:t>
      </w:r>
      <w:r>
        <w:t>～</w:t>
      </w:r>
      <w:r>
        <w:rPr>
          <w:rFonts w:ascii="Arial" w:hAnsi="Arial" w:eastAsia="Arial"/>
        </w:rPr>
        <w:t>-80</w:t>
      </w:r>
      <w:r>
        <w:rPr>
          <w:rFonts w:hint="eastAsia" w:ascii="宋体" w:hAnsi="宋体" w:eastAsia="宋体"/>
        </w:rPr>
        <w:t>℃</w:t>
      </w:r>
      <w:r>
        <w:t>保存，冻干粉可以稳定保存一年。</w:t>
      </w:r>
    </w:p>
    <w:p>
      <w:pPr>
        <w:pStyle w:val="5"/>
        <w:spacing w:before="44"/>
        <w:ind w:left="447"/>
      </w:pPr>
      <w:r>
        <w:t>使用前瞬时离心，用</w:t>
      </w:r>
      <w:r>
        <w:rPr>
          <w:rFonts w:ascii="Arial" w:hAnsi="Arial" w:eastAsia="Arial"/>
        </w:rPr>
        <w:t>RNase-free H</w:t>
      </w:r>
      <w:r>
        <w:rPr>
          <w:rFonts w:ascii="Arial" w:hAnsi="Arial" w:eastAsia="Arial"/>
          <w:vertAlign w:val="subscript"/>
        </w:rPr>
        <w:t>2</w:t>
      </w:r>
      <w:r>
        <w:rPr>
          <w:rFonts w:ascii="Arial" w:hAnsi="Arial" w:eastAsia="Arial"/>
          <w:vertAlign w:val="baseline"/>
        </w:rPr>
        <w:t>O</w:t>
      </w:r>
      <w:r>
        <w:rPr>
          <w:vertAlign w:val="baseline"/>
        </w:rPr>
        <w:t>或灭菌</w:t>
      </w:r>
      <w:r>
        <w:rPr>
          <w:rFonts w:ascii="Arial" w:hAnsi="Arial" w:eastAsia="Arial"/>
          <w:vertAlign w:val="baseline"/>
        </w:rPr>
        <w:t>ddH</w:t>
      </w:r>
      <w:r>
        <w:rPr>
          <w:rFonts w:ascii="Arial" w:hAnsi="Arial" w:eastAsia="Arial"/>
          <w:vertAlign w:val="subscript"/>
        </w:rPr>
        <w:t>2</w:t>
      </w:r>
      <w:r>
        <w:rPr>
          <w:rFonts w:ascii="Arial" w:hAnsi="Arial" w:eastAsia="Arial"/>
          <w:vertAlign w:val="baseline"/>
        </w:rPr>
        <w:t>O</w:t>
      </w:r>
      <w:r>
        <w:rPr>
          <w:spacing w:val="-13"/>
          <w:vertAlign w:val="baseline"/>
        </w:rPr>
        <w:t xml:space="preserve">配制成 </w:t>
      </w:r>
      <w:r>
        <w:rPr>
          <w:rFonts w:ascii="Arial" w:hAnsi="Arial" w:eastAsia="Arial"/>
          <w:vertAlign w:val="baseline"/>
        </w:rPr>
        <w:t>20μM</w:t>
      </w:r>
      <w:r>
        <w:rPr>
          <w:vertAlign w:val="baseline"/>
        </w:rPr>
        <w:t>储存液，分装保存，避免反复冻融（</w:t>
      </w:r>
      <w:r>
        <w:rPr>
          <w:spacing w:val="-9"/>
          <w:vertAlign w:val="baseline"/>
        </w:rPr>
        <w:t xml:space="preserve">建议不超过 </w:t>
      </w:r>
      <w:r>
        <w:rPr>
          <w:vertAlign w:val="baseline"/>
        </w:rPr>
        <w:t>5</w:t>
      </w:r>
      <w:r>
        <w:rPr>
          <w:spacing w:val="-26"/>
          <w:vertAlign w:val="baseline"/>
        </w:rPr>
        <w:t xml:space="preserve"> 次</w:t>
      </w:r>
      <w:r>
        <w:rPr>
          <w:spacing w:val="-100"/>
          <w:vertAlign w:val="baseline"/>
        </w:rPr>
        <w:t>）</w:t>
      </w:r>
      <w:r>
        <w:rPr>
          <w:vertAlign w:val="baseline"/>
        </w:rPr>
        <w:t>。</w:t>
      </w:r>
    </w:p>
    <w:p>
      <w:pPr>
        <w:tabs>
          <w:tab w:val="left" w:pos="4652"/>
        </w:tabs>
        <w:spacing w:before="34" w:after="11"/>
        <w:ind w:left="4071" w:right="0" w:firstLine="0"/>
        <w:jc w:val="left"/>
        <w:rPr>
          <w:sz w:val="21"/>
        </w:rPr>
      </w:pPr>
      <w:r>
        <w:rPr>
          <w:b/>
          <w:sz w:val="21"/>
        </w:rPr>
        <w:t>表</w:t>
      </w:r>
      <w:r>
        <w:rPr>
          <w:b/>
          <w:spacing w:val="-53"/>
          <w:sz w:val="21"/>
        </w:rPr>
        <w:t xml:space="preserve"> </w:t>
      </w:r>
      <w:r>
        <w:rPr>
          <w:b/>
          <w:sz w:val="21"/>
        </w:rPr>
        <w:t>1</w:t>
      </w:r>
      <w:r>
        <w:rPr>
          <w:b/>
          <w:sz w:val="21"/>
        </w:rPr>
        <w:tab/>
      </w:r>
      <w:r>
        <w:rPr>
          <w:sz w:val="21"/>
        </w:rPr>
        <w:t>20</w:t>
      </w:r>
      <w:r>
        <w:rPr>
          <w:spacing w:val="1"/>
          <w:sz w:val="21"/>
        </w:rPr>
        <w:t xml:space="preserve"> </w:t>
      </w:r>
      <w:r>
        <w:rPr>
          <w:rFonts w:ascii="Arial" w:hAnsi="Arial" w:eastAsia="Arial"/>
          <w:sz w:val="21"/>
        </w:rPr>
        <w:t>μM</w:t>
      </w:r>
      <w:r>
        <w:rPr>
          <w:rFonts w:ascii="Arial" w:hAnsi="Arial" w:eastAsia="Arial"/>
          <w:spacing w:val="-6"/>
          <w:sz w:val="21"/>
        </w:rPr>
        <w:t xml:space="preserve"> </w:t>
      </w:r>
      <w:r>
        <w:rPr>
          <w:sz w:val="21"/>
        </w:rPr>
        <w:t>储存液的配置方法</w:t>
      </w:r>
    </w:p>
    <w:tbl>
      <w:tblPr>
        <w:tblStyle w:val="6"/>
        <w:tblW w:w="0" w:type="auto"/>
        <w:tblInd w:w="16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1409"/>
        <w:gridCol w:w="1512"/>
        <w:gridCol w:w="1544"/>
        <w:gridCol w:w="1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88" w:type="dxa"/>
            <w:shd w:val="clear" w:color="auto" w:fill="4BACC6"/>
          </w:tcPr>
          <w:p>
            <w:pPr>
              <w:pStyle w:val="10"/>
              <w:spacing w:before="40" w:line="250" w:lineRule="exact"/>
              <w:ind w:left="117"/>
              <w:rPr>
                <w:rFonts w:ascii="黑体"/>
                <w:sz w:val="21"/>
              </w:rPr>
            </w:pPr>
            <w:r>
              <w:rPr>
                <w:rFonts w:ascii="黑体"/>
                <w:color w:val="FFFFFF"/>
                <w:sz w:val="21"/>
              </w:rPr>
              <w:t>siRNA(nmol)</w:t>
            </w:r>
          </w:p>
        </w:tc>
        <w:tc>
          <w:tcPr>
            <w:tcW w:w="1409" w:type="dxa"/>
            <w:shd w:val="clear" w:color="auto" w:fill="4BACC6"/>
          </w:tcPr>
          <w:p>
            <w:pPr>
              <w:pStyle w:val="10"/>
              <w:spacing w:before="40" w:line="250" w:lineRule="exact"/>
              <w:ind w:left="533"/>
              <w:rPr>
                <w:rFonts w:ascii="黑体"/>
                <w:sz w:val="21"/>
              </w:rPr>
            </w:pPr>
            <w:r>
              <w:rPr>
                <w:rFonts w:ascii="黑体"/>
                <w:color w:val="FFFFFF"/>
                <w:sz w:val="21"/>
              </w:rPr>
              <w:t>2.5</w:t>
            </w:r>
          </w:p>
        </w:tc>
        <w:tc>
          <w:tcPr>
            <w:tcW w:w="1512" w:type="dxa"/>
            <w:shd w:val="clear" w:color="auto" w:fill="4BACC6"/>
          </w:tcPr>
          <w:p>
            <w:pPr>
              <w:pStyle w:val="10"/>
              <w:spacing w:before="40" w:line="250" w:lineRule="exact"/>
              <w:ind w:left="0" w:right="37"/>
              <w:jc w:val="center"/>
              <w:rPr>
                <w:rFonts w:ascii="黑体"/>
                <w:sz w:val="21"/>
              </w:rPr>
            </w:pPr>
            <w:r>
              <w:rPr>
                <w:rFonts w:ascii="黑体"/>
                <w:color w:val="FFFFFF"/>
                <w:sz w:val="21"/>
              </w:rPr>
              <w:t>5</w:t>
            </w:r>
          </w:p>
        </w:tc>
        <w:tc>
          <w:tcPr>
            <w:tcW w:w="1544" w:type="dxa"/>
            <w:shd w:val="clear" w:color="auto" w:fill="4BACC6"/>
          </w:tcPr>
          <w:p>
            <w:pPr>
              <w:pStyle w:val="10"/>
              <w:spacing w:before="40" w:line="250" w:lineRule="exact"/>
              <w:ind w:left="616" w:right="570"/>
              <w:jc w:val="center"/>
              <w:rPr>
                <w:rFonts w:ascii="黑体"/>
                <w:sz w:val="21"/>
              </w:rPr>
            </w:pPr>
            <w:r>
              <w:rPr>
                <w:rFonts w:ascii="黑体"/>
                <w:color w:val="FFFFFF"/>
                <w:sz w:val="21"/>
              </w:rPr>
              <w:t>10</w:t>
            </w:r>
          </w:p>
        </w:tc>
        <w:tc>
          <w:tcPr>
            <w:tcW w:w="1597" w:type="dxa"/>
            <w:shd w:val="clear" w:color="auto" w:fill="4BACC6"/>
          </w:tcPr>
          <w:p>
            <w:pPr>
              <w:pStyle w:val="10"/>
              <w:spacing w:before="40" w:line="250" w:lineRule="exact"/>
              <w:ind w:left="696" w:right="651"/>
              <w:jc w:val="center"/>
              <w:rPr>
                <w:rFonts w:ascii="黑体"/>
                <w:sz w:val="21"/>
              </w:rPr>
            </w:pPr>
            <w:r>
              <w:rPr>
                <w:rFonts w:ascii="黑体"/>
                <w:color w:val="FFFFFF"/>
                <w:sz w:val="21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88" w:type="dxa"/>
            <w:tcBorders>
              <w:left w:val="single" w:color="4BACC6" w:sz="8" w:space="0"/>
              <w:bottom w:val="single" w:color="4BACC6" w:sz="8" w:space="0"/>
            </w:tcBorders>
          </w:tcPr>
          <w:p>
            <w:pPr>
              <w:pStyle w:val="10"/>
              <w:spacing w:before="49" w:line="251" w:lineRule="exact"/>
              <w:rPr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溶解体积</w:t>
            </w:r>
            <w:r>
              <w:rPr>
                <w:sz w:val="21"/>
              </w:rPr>
              <w:t>(μl)</w:t>
            </w:r>
          </w:p>
        </w:tc>
        <w:tc>
          <w:tcPr>
            <w:tcW w:w="1409" w:type="dxa"/>
            <w:tcBorders>
              <w:bottom w:val="single" w:color="4BACC6" w:sz="8" w:space="0"/>
            </w:tcBorders>
          </w:tcPr>
          <w:p>
            <w:pPr>
              <w:pStyle w:val="10"/>
              <w:spacing w:before="49" w:line="251" w:lineRule="exact"/>
              <w:ind w:left="533"/>
              <w:rPr>
                <w:rFonts w:ascii="黑体"/>
                <w:sz w:val="21"/>
              </w:rPr>
            </w:pPr>
            <w:r>
              <w:rPr>
                <w:rFonts w:ascii="黑体"/>
                <w:sz w:val="21"/>
              </w:rPr>
              <w:t>125</w:t>
            </w:r>
          </w:p>
        </w:tc>
        <w:tc>
          <w:tcPr>
            <w:tcW w:w="1512" w:type="dxa"/>
            <w:tcBorders>
              <w:bottom w:val="single" w:color="4BACC6" w:sz="8" w:space="0"/>
            </w:tcBorders>
          </w:tcPr>
          <w:p>
            <w:pPr>
              <w:pStyle w:val="10"/>
              <w:spacing w:before="49" w:line="251" w:lineRule="exact"/>
              <w:ind w:left="559" w:right="597"/>
              <w:jc w:val="center"/>
              <w:rPr>
                <w:rFonts w:ascii="黑体"/>
                <w:sz w:val="21"/>
              </w:rPr>
            </w:pPr>
            <w:r>
              <w:rPr>
                <w:rFonts w:ascii="黑体"/>
                <w:sz w:val="21"/>
              </w:rPr>
              <w:t>250</w:t>
            </w:r>
          </w:p>
        </w:tc>
        <w:tc>
          <w:tcPr>
            <w:tcW w:w="1544" w:type="dxa"/>
            <w:tcBorders>
              <w:bottom w:val="single" w:color="4BACC6" w:sz="8" w:space="0"/>
            </w:tcBorders>
          </w:tcPr>
          <w:p>
            <w:pPr>
              <w:pStyle w:val="10"/>
              <w:spacing w:before="49" w:line="251" w:lineRule="exact"/>
              <w:ind w:left="616" w:right="572"/>
              <w:jc w:val="center"/>
              <w:rPr>
                <w:rFonts w:ascii="黑体"/>
                <w:sz w:val="21"/>
              </w:rPr>
            </w:pPr>
            <w:r>
              <w:rPr>
                <w:rFonts w:ascii="黑体"/>
                <w:sz w:val="21"/>
              </w:rPr>
              <w:t>500</w:t>
            </w:r>
          </w:p>
        </w:tc>
        <w:tc>
          <w:tcPr>
            <w:tcW w:w="1597" w:type="dxa"/>
            <w:tcBorders>
              <w:bottom w:val="single" w:color="4BACC6" w:sz="8" w:space="0"/>
              <w:right w:val="single" w:color="4BACC6" w:sz="8" w:space="0"/>
            </w:tcBorders>
          </w:tcPr>
          <w:p>
            <w:pPr>
              <w:pStyle w:val="10"/>
              <w:spacing w:before="49" w:line="251" w:lineRule="exact"/>
              <w:ind w:left="590" w:right="537"/>
              <w:jc w:val="center"/>
              <w:rPr>
                <w:rFonts w:ascii="黑体"/>
                <w:sz w:val="21"/>
              </w:rPr>
            </w:pPr>
            <w:r>
              <w:rPr>
                <w:rFonts w:ascii="黑体"/>
                <w:sz w:val="21"/>
              </w:rPr>
              <w:t>2500</w:t>
            </w:r>
          </w:p>
        </w:tc>
      </w:tr>
    </w:tbl>
    <w:p>
      <w:pPr>
        <w:spacing w:before="40"/>
        <w:ind w:left="1647" w:right="0" w:firstLine="0"/>
        <w:jc w:val="left"/>
        <w:rPr>
          <w:rFonts w:ascii="Arial" w:hAnsi="Arial" w:eastAsia="Arial"/>
          <w:sz w:val="18"/>
        </w:rPr>
      </w:pPr>
      <w:r>
        <w:rPr>
          <w:sz w:val="20"/>
        </w:rPr>
        <w:t>注：</w:t>
      </w:r>
      <w:r>
        <w:rPr>
          <w:rFonts w:ascii="Arial" w:hAnsi="Arial" w:eastAsia="Arial"/>
          <w:sz w:val="18"/>
        </w:rPr>
        <w:t>1OD duplex=2.5nmols=40μg</w:t>
      </w:r>
    </w:p>
    <w:p>
      <w:pPr>
        <w:pStyle w:val="4"/>
        <w:spacing w:before="33"/>
        <w:ind w:firstLine="0"/>
        <w:jc w:val="left"/>
      </w:pPr>
      <w:r>
        <w:t>使用须知：</w:t>
      </w:r>
    </w:p>
    <w:p>
      <w:pPr>
        <w:pStyle w:val="9"/>
        <w:numPr>
          <w:ilvl w:val="0"/>
          <w:numId w:val="1"/>
        </w:numPr>
        <w:tabs>
          <w:tab w:val="left" w:pos="928"/>
        </w:tabs>
        <w:spacing w:before="41" w:after="0" w:line="280" w:lineRule="auto"/>
        <w:ind w:left="927" w:right="201" w:hanging="360"/>
        <w:jc w:val="left"/>
        <w:rPr>
          <w:sz w:val="20"/>
        </w:rPr>
      </w:pPr>
      <w:r>
        <w:rPr>
          <w:rFonts w:ascii="Arial" w:eastAsia="Arial"/>
          <w:sz w:val="20"/>
        </w:rPr>
        <w:t>siRNA</w:t>
      </w:r>
      <w:r>
        <w:rPr>
          <w:spacing w:val="-3"/>
          <w:sz w:val="20"/>
        </w:rPr>
        <w:t>呈很轻的干膜状附在管壁上，打开管子前先离心，然后再慢慢打开管盖，溶解时请加足量</w:t>
      </w:r>
      <w:r>
        <w:rPr>
          <w:rFonts w:ascii="Arial" w:eastAsia="Arial"/>
          <w:sz w:val="20"/>
        </w:rPr>
        <w:t>RNase-free</w:t>
      </w:r>
      <w:r>
        <w:rPr>
          <w:rFonts w:ascii="Arial" w:eastAsia="Arial"/>
          <w:spacing w:val="-20"/>
          <w:sz w:val="20"/>
        </w:rPr>
        <w:t xml:space="preserve"> </w:t>
      </w:r>
      <w:r>
        <w:rPr>
          <w:rFonts w:ascii="Arial" w:eastAsia="Arial"/>
          <w:sz w:val="20"/>
        </w:rPr>
        <w:t>H</w:t>
      </w:r>
      <w:r>
        <w:rPr>
          <w:rFonts w:ascii="Arial" w:eastAsia="Arial"/>
          <w:sz w:val="20"/>
          <w:vertAlign w:val="subscript"/>
        </w:rPr>
        <w:t>2</w:t>
      </w:r>
      <w:r>
        <w:rPr>
          <w:rFonts w:ascii="Arial" w:eastAsia="Arial"/>
          <w:sz w:val="20"/>
          <w:vertAlign w:val="baseline"/>
        </w:rPr>
        <w:t>O</w:t>
      </w:r>
      <w:r>
        <w:rPr>
          <w:sz w:val="20"/>
          <w:vertAlign w:val="baseline"/>
        </w:rPr>
        <w:t>或灭菌</w:t>
      </w:r>
      <w:r>
        <w:rPr>
          <w:rFonts w:ascii="Arial" w:eastAsia="Arial"/>
          <w:sz w:val="20"/>
          <w:vertAlign w:val="baseline"/>
        </w:rPr>
        <w:t>ddH</w:t>
      </w:r>
      <w:r>
        <w:rPr>
          <w:rFonts w:ascii="Arial" w:eastAsia="Arial"/>
          <w:sz w:val="20"/>
          <w:vertAlign w:val="subscript"/>
        </w:rPr>
        <w:t>2</w:t>
      </w:r>
      <w:r>
        <w:rPr>
          <w:rFonts w:ascii="Arial" w:eastAsia="Arial"/>
          <w:sz w:val="20"/>
          <w:vertAlign w:val="baseline"/>
        </w:rPr>
        <w:t>O</w:t>
      </w:r>
      <w:r>
        <w:rPr>
          <w:sz w:val="20"/>
          <w:vertAlign w:val="baseline"/>
        </w:rPr>
        <w:t>后盖上管盖，震荡溶解。</w:t>
      </w:r>
    </w:p>
    <w:p>
      <w:pPr>
        <w:pStyle w:val="9"/>
        <w:numPr>
          <w:ilvl w:val="0"/>
          <w:numId w:val="1"/>
        </w:numPr>
        <w:tabs>
          <w:tab w:val="left" w:pos="928"/>
          <w:tab w:val="left" w:pos="3828"/>
        </w:tabs>
        <w:spacing w:before="1" w:after="0" w:line="280" w:lineRule="auto"/>
        <w:ind w:left="927" w:right="199" w:hanging="360"/>
        <w:jc w:val="left"/>
        <w:rPr>
          <w:sz w:val="20"/>
        </w:rPr>
      </w:pPr>
      <w:r>
        <w:rPr>
          <w:sz w:val="20"/>
        </w:rPr>
        <w:t>为避免外界因素(包括酶，极端</w:t>
      </w:r>
      <w:r>
        <w:rPr>
          <w:sz w:val="20"/>
        </w:rPr>
        <w:tab/>
      </w:r>
      <w:r>
        <w:rPr>
          <w:sz w:val="20"/>
        </w:rPr>
        <w:t>pH</w:t>
      </w:r>
      <w:r>
        <w:rPr>
          <w:spacing w:val="-3"/>
          <w:sz w:val="20"/>
        </w:rPr>
        <w:t xml:space="preserve"> </w:t>
      </w:r>
      <w:r>
        <w:rPr>
          <w:sz w:val="20"/>
        </w:rPr>
        <w:t>或者温度条件等)导致产品降解，所有操作请严格遵循</w:t>
      </w:r>
      <w:r>
        <w:rPr>
          <w:spacing w:val="-8"/>
          <w:sz w:val="20"/>
        </w:rPr>
        <w:t xml:space="preserve"> </w:t>
      </w:r>
      <w:r>
        <w:rPr>
          <w:sz w:val="20"/>
        </w:rPr>
        <w:t>RNA</w:t>
      </w:r>
      <w:r>
        <w:rPr>
          <w:spacing w:val="-5"/>
          <w:sz w:val="20"/>
        </w:rPr>
        <w:t xml:space="preserve"> </w:t>
      </w:r>
      <w:r>
        <w:rPr>
          <w:sz w:val="20"/>
        </w:rPr>
        <w:t>操作规则。实验过程中，产品最好于冰上放置，使用完毕后请于</w:t>
      </w:r>
      <w:r>
        <w:rPr>
          <w:rFonts w:ascii="Arial" w:hAnsi="Arial" w:eastAsia="Arial"/>
          <w:sz w:val="20"/>
        </w:rPr>
        <w:t>-20</w:t>
      </w:r>
      <w:r>
        <w:rPr>
          <w:rFonts w:hint="eastAsia" w:ascii="宋体" w:hAnsi="宋体" w:eastAsia="宋体"/>
          <w:sz w:val="20"/>
        </w:rPr>
        <w:t>℃</w:t>
      </w:r>
      <w:r>
        <w:rPr>
          <w:sz w:val="20"/>
        </w:rPr>
        <w:t>～</w:t>
      </w:r>
      <w:r>
        <w:rPr>
          <w:rFonts w:ascii="Arial" w:hAnsi="Arial" w:eastAsia="Arial"/>
          <w:sz w:val="20"/>
        </w:rPr>
        <w:t>-80</w:t>
      </w:r>
      <w:r>
        <w:rPr>
          <w:rFonts w:hint="eastAsia" w:ascii="宋体" w:hAnsi="宋体" w:eastAsia="宋体"/>
          <w:sz w:val="20"/>
        </w:rPr>
        <w:t>℃</w:t>
      </w:r>
      <w:r>
        <w:rPr>
          <w:sz w:val="20"/>
        </w:rPr>
        <w:t>小心保存。</w:t>
      </w:r>
    </w:p>
    <w:p>
      <w:pPr>
        <w:pStyle w:val="5"/>
        <w:spacing w:before="2"/>
        <w:rPr>
          <w:sz w:val="17"/>
        </w:rPr>
      </w:pPr>
    </w:p>
    <w:p>
      <w:pPr>
        <w:pStyle w:val="2"/>
      </w:pPr>
      <w:r>
        <w:rPr>
          <w:color w:val="0070C0"/>
        </w:rPr>
        <w:t>细胞实验方法：</w:t>
      </w:r>
    </w:p>
    <w:p>
      <w:pPr>
        <w:pStyle w:val="5"/>
        <w:spacing w:before="22"/>
        <w:ind w:left="567"/>
      </w:pPr>
      <w:r>
        <w:t>为了降低细胞密度、试剂用量，转染效率等因素导致的孔间差异，保证实验的可靠性和可重复性,Biomics 建议：</w:t>
      </w:r>
    </w:p>
    <w:p>
      <w:pPr>
        <w:pStyle w:val="9"/>
        <w:numPr>
          <w:ilvl w:val="0"/>
          <w:numId w:val="2"/>
        </w:numPr>
        <w:tabs>
          <w:tab w:val="left" w:pos="928"/>
        </w:tabs>
        <w:spacing w:before="43" w:after="0" w:line="240" w:lineRule="auto"/>
        <w:ind w:left="927" w:right="0" w:hanging="361"/>
        <w:jc w:val="left"/>
        <w:rPr>
          <w:sz w:val="20"/>
        </w:rPr>
      </w:pPr>
      <w:r>
        <w:rPr>
          <w:spacing w:val="-4"/>
          <w:sz w:val="20"/>
        </w:rPr>
        <w:t xml:space="preserve">转染实验中每个转染样品至少设置 </w:t>
      </w:r>
      <w:r>
        <w:rPr>
          <w:rFonts w:ascii="Arial" w:eastAsia="Arial"/>
          <w:sz w:val="20"/>
        </w:rPr>
        <w:t>3</w:t>
      </w:r>
      <w:r>
        <w:rPr>
          <w:rFonts w:ascii="Arial" w:eastAsia="Arial"/>
          <w:spacing w:val="-6"/>
          <w:sz w:val="20"/>
        </w:rPr>
        <w:t xml:space="preserve"> </w:t>
      </w:r>
      <w:r>
        <w:rPr>
          <w:sz w:val="20"/>
        </w:rPr>
        <w:t>个复孔；</w:t>
      </w:r>
    </w:p>
    <w:p>
      <w:pPr>
        <w:pStyle w:val="9"/>
        <w:numPr>
          <w:ilvl w:val="0"/>
          <w:numId w:val="2"/>
        </w:numPr>
        <w:tabs>
          <w:tab w:val="left" w:pos="928"/>
        </w:tabs>
        <w:spacing w:before="44" w:after="0" w:line="240" w:lineRule="auto"/>
        <w:ind w:left="927" w:right="0" w:hanging="361"/>
        <w:jc w:val="left"/>
        <w:rPr>
          <w:sz w:val="20"/>
        </w:rPr>
      </w:pPr>
      <w:r>
        <w:rPr>
          <w:sz w:val="20"/>
        </w:rPr>
        <w:t>接种细胞时，每孔接种的细胞数量尽量保持一致，尽量使细胞在各孔的表面平均分布。</w:t>
      </w:r>
    </w:p>
    <w:p>
      <w:pPr>
        <w:pStyle w:val="5"/>
        <w:spacing w:before="1"/>
        <w:rPr>
          <w:sz w:val="26"/>
        </w:rPr>
      </w:pPr>
    </w:p>
    <w:p>
      <w:pPr>
        <w:pStyle w:val="4"/>
        <w:numPr>
          <w:ilvl w:val="0"/>
          <w:numId w:val="3"/>
        </w:numPr>
        <w:tabs>
          <w:tab w:val="left" w:pos="718"/>
        </w:tabs>
        <w:spacing w:before="0" w:after="0" w:line="240" w:lineRule="auto"/>
        <w:ind w:left="717" w:right="0" w:hanging="361"/>
        <w:jc w:val="both"/>
      </w:pPr>
      <w:r>
        <w:t>转染浓度：</w:t>
      </w:r>
    </w:p>
    <w:p>
      <w:pPr>
        <w:pStyle w:val="5"/>
        <w:spacing w:before="7"/>
        <w:rPr>
          <w:b/>
          <w:sz w:val="26"/>
        </w:rPr>
      </w:pPr>
    </w:p>
    <w:p>
      <w:pPr>
        <w:pStyle w:val="9"/>
        <w:numPr>
          <w:ilvl w:val="1"/>
          <w:numId w:val="3"/>
        </w:numPr>
        <w:tabs>
          <w:tab w:val="left" w:pos="988"/>
        </w:tabs>
        <w:spacing w:before="1" w:after="0" w:line="280" w:lineRule="auto"/>
        <w:ind w:left="987" w:right="167" w:hanging="420"/>
        <w:jc w:val="both"/>
        <w:rPr>
          <w:sz w:val="20"/>
        </w:rPr>
      </w:pPr>
      <w:r>
        <w:rPr>
          <w:spacing w:val="-1"/>
          <w:sz w:val="20"/>
        </w:rPr>
        <w:t>为了获得最佳基因阻断结果，每一种细胞系转染</w:t>
      </w:r>
      <w:r>
        <w:rPr>
          <w:rFonts w:ascii="Arial" w:eastAsia="Arial"/>
          <w:sz w:val="20"/>
        </w:rPr>
        <w:t>siRNA</w:t>
      </w:r>
      <w:r>
        <w:rPr>
          <w:sz w:val="20"/>
        </w:rPr>
        <w:t>的量都需要经过实验确定。如果您是首次转染您的细胞系， 推荐尝试使用几个</w:t>
      </w:r>
      <w:r>
        <w:rPr>
          <w:rFonts w:ascii="Arial" w:eastAsia="Arial"/>
          <w:sz w:val="20"/>
        </w:rPr>
        <w:t>Lipofectamine</w:t>
      </w:r>
      <w:r>
        <w:rPr>
          <w:rFonts w:ascii="Arial" w:eastAsia="Arial"/>
          <w:sz w:val="20"/>
          <w:vertAlign w:val="superscript"/>
        </w:rPr>
        <w:t>TM</w:t>
      </w:r>
      <w:r>
        <w:rPr>
          <w:rFonts w:ascii="Arial" w:eastAsia="Arial"/>
          <w:spacing w:val="-14"/>
          <w:sz w:val="20"/>
          <w:vertAlign w:val="baseline"/>
        </w:rPr>
        <w:t xml:space="preserve"> </w:t>
      </w:r>
      <w:r>
        <w:rPr>
          <w:sz w:val="20"/>
          <w:vertAlign w:val="baseline"/>
        </w:rPr>
        <w:t>2000</w:t>
      </w:r>
      <w:r>
        <w:rPr>
          <w:spacing w:val="-17"/>
          <w:sz w:val="20"/>
          <w:vertAlign w:val="baseline"/>
        </w:rPr>
        <w:t xml:space="preserve"> 的浓度，并在 </w:t>
      </w:r>
      <w:r>
        <w:rPr>
          <w:sz w:val="20"/>
          <w:vertAlign w:val="baseline"/>
        </w:rPr>
        <w:t>20-100nM范围内改变</w:t>
      </w:r>
      <w:r>
        <w:rPr>
          <w:rFonts w:ascii="Arial" w:eastAsia="Arial"/>
          <w:sz w:val="20"/>
          <w:vertAlign w:val="baseline"/>
        </w:rPr>
        <w:t>siRNA</w:t>
      </w:r>
      <w:r>
        <w:rPr>
          <w:spacing w:val="-3"/>
          <w:sz w:val="20"/>
          <w:vertAlign w:val="baseline"/>
        </w:rPr>
        <w:t>的浓度，以确定达到最佳基因阻断水平所需要的条件。高浓度的</w:t>
      </w:r>
      <w:r>
        <w:rPr>
          <w:rFonts w:ascii="Arial" w:eastAsia="Arial"/>
          <w:spacing w:val="-3"/>
          <w:sz w:val="20"/>
          <w:vertAlign w:val="baseline"/>
        </w:rPr>
        <w:t>siRNA</w:t>
      </w:r>
      <w:r>
        <w:rPr>
          <w:spacing w:val="-3"/>
          <w:sz w:val="20"/>
          <w:vertAlign w:val="baseline"/>
        </w:rPr>
        <w:t>可能具有细胞系依赖性。</w:t>
      </w:r>
    </w:p>
    <w:p>
      <w:pPr>
        <w:pStyle w:val="9"/>
        <w:numPr>
          <w:ilvl w:val="1"/>
          <w:numId w:val="3"/>
        </w:numPr>
        <w:tabs>
          <w:tab w:val="left" w:pos="988"/>
        </w:tabs>
        <w:spacing w:before="0" w:after="0" w:line="280" w:lineRule="auto"/>
        <w:ind w:left="987" w:right="201" w:hanging="421"/>
        <w:jc w:val="both"/>
        <w:rPr>
          <w:sz w:val="20"/>
        </w:rPr>
      </w:pPr>
      <w:r>
        <w:rPr>
          <w:spacing w:val="-28"/>
          <w:sz w:val="20"/>
        </w:rPr>
        <w:t xml:space="preserve">在 </w:t>
      </w:r>
      <w:r>
        <w:rPr>
          <w:rFonts w:ascii="Arial" w:eastAsia="Arial"/>
          <w:sz w:val="20"/>
        </w:rPr>
        <w:t>30-50</w:t>
      </w:r>
      <w:r>
        <w:rPr>
          <w:spacing w:val="-4"/>
          <w:sz w:val="20"/>
        </w:rPr>
        <w:t xml:space="preserve">％细胞汇合度时进行转染。通常基因沉默分析至少要在转染后 </w:t>
      </w:r>
      <w:r>
        <w:rPr>
          <w:rFonts w:ascii="Arial" w:eastAsia="Arial"/>
          <w:sz w:val="20"/>
        </w:rPr>
        <w:t>24-72</w:t>
      </w:r>
      <w:r>
        <w:rPr>
          <w:rFonts w:ascii="Arial" w:eastAsia="Arial"/>
          <w:spacing w:val="-10"/>
          <w:sz w:val="20"/>
        </w:rPr>
        <w:t xml:space="preserve"> </w:t>
      </w:r>
      <w:r>
        <w:rPr>
          <w:spacing w:val="-5"/>
          <w:sz w:val="20"/>
        </w:rPr>
        <w:t>小时进行。低密度转染细胞可以使转染和分析之间更长的间隙更长，从而使由于细胞过度生长造成的细胞活性损害减少到最低。根据靶基因的特性，高密度转染的细胞可能更加适合条件的优化。</w:t>
      </w:r>
    </w:p>
    <w:p>
      <w:pPr>
        <w:pStyle w:val="9"/>
        <w:numPr>
          <w:ilvl w:val="1"/>
          <w:numId w:val="3"/>
        </w:numPr>
        <w:tabs>
          <w:tab w:val="left" w:pos="988"/>
        </w:tabs>
        <w:spacing w:before="1" w:after="0" w:line="240" w:lineRule="auto"/>
        <w:ind w:left="987" w:right="0" w:hanging="421"/>
        <w:jc w:val="both"/>
        <w:rPr>
          <w:sz w:val="20"/>
        </w:rPr>
      </w:pPr>
      <w:r>
        <w:rPr>
          <w:sz w:val="20"/>
        </w:rPr>
        <w:t>不要在转染时的培养基中加入抗生素，因为这将会降低细胞转染的效率和导致细胞死亡。</w:t>
      </w:r>
    </w:p>
    <w:p>
      <w:pPr>
        <w:pStyle w:val="9"/>
        <w:numPr>
          <w:ilvl w:val="1"/>
          <w:numId w:val="3"/>
        </w:numPr>
        <w:tabs>
          <w:tab w:val="left" w:pos="988"/>
        </w:tabs>
        <w:spacing w:before="43" w:after="0" w:line="280" w:lineRule="auto"/>
        <w:ind w:left="987" w:right="200" w:hanging="420"/>
        <w:jc w:val="both"/>
        <w:rPr>
          <w:sz w:val="20"/>
        </w:rPr>
      </w:pPr>
      <w:r>
        <w:rPr>
          <w:sz w:val="20"/>
        </w:rPr>
        <w:t>为了获得更好的结果，可以使用</w:t>
      </w:r>
      <w:r>
        <w:rPr>
          <w:rFonts w:ascii="Arial" w:eastAsia="Arial"/>
          <w:sz w:val="20"/>
        </w:rPr>
        <w:t>Invitrogen</w:t>
      </w:r>
      <w:r>
        <w:rPr>
          <w:rFonts w:ascii="Arial" w:eastAsia="Arial"/>
          <w:spacing w:val="13"/>
          <w:sz w:val="20"/>
        </w:rPr>
        <w:t xml:space="preserve"> </w:t>
      </w:r>
      <w:r>
        <w:rPr>
          <w:sz w:val="20"/>
        </w:rPr>
        <w:t>的</w:t>
      </w:r>
      <w:r>
        <w:rPr>
          <w:rFonts w:ascii="Arial" w:eastAsia="Arial"/>
          <w:sz w:val="20"/>
        </w:rPr>
        <w:t>Opti-MEM</w:t>
      </w:r>
      <w:r>
        <w:rPr>
          <w:sz w:val="20"/>
        </w:rPr>
        <w:t>低血清培养基在形成复合物前稀释</w:t>
      </w:r>
      <w:r>
        <w:rPr>
          <w:rFonts w:ascii="Arial" w:eastAsia="Arial"/>
          <w:sz w:val="20"/>
        </w:rPr>
        <w:t>Lipofectamine</w:t>
      </w:r>
      <w:r>
        <w:rPr>
          <w:rFonts w:ascii="Arial" w:eastAsia="Arial"/>
          <w:sz w:val="20"/>
          <w:vertAlign w:val="superscript"/>
        </w:rPr>
        <w:t>TM</w:t>
      </w:r>
      <w:r>
        <w:rPr>
          <w:rFonts w:ascii="Arial" w:eastAsia="Arial"/>
          <w:spacing w:val="11"/>
          <w:sz w:val="20"/>
          <w:vertAlign w:val="baseline"/>
        </w:rPr>
        <w:t xml:space="preserve"> </w:t>
      </w:r>
      <w:r>
        <w:rPr>
          <w:rFonts w:ascii="Arial" w:eastAsia="Arial"/>
          <w:sz w:val="20"/>
          <w:vertAlign w:val="baseline"/>
        </w:rPr>
        <w:t xml:space="preserve">2000 </w:t>
      </w:r>
      <w:r>
        <w:rPr>
          <w:sz w:val="20"/>
          <w:vertAlign w:val="baseline"/>
        </w:rPr>
        <w:t>和</w:t>
      </w:r>
      <w:r>
        <w:rPr>
          <w:rFonts w:ascii="Arial" w:eastAsia="Arial"/>
          <w:sz w:val="20"/>
          <w:vertAlign w:val="baseline"/>
        </w:rPr>
        <w:t>siRNA</w:t>
      </w:r>
      <w:r>
        <w:rPr>
          <w:spacing w:val="6"/>
          <w:sz w:val="20"/>
          <w:vertAlign w:val="baseline"/>
        </w:rPr>
        <w:t>。 可以使用荧光标记的</w:t>
      </w:r>
      <w:r>
        <w:rPr>
          <w:rFonts w:ascii="Arial" w:eastAsia="Arial"/>
          <w:sz w:val="20"/>
          <w:vertAlign w:val="baseline"/>
        </w:rPr>
        <w:t>siRNA</w:t>
      </w:r>
      <w:r>
        <w:rPr>
          <w:sz w:val="20"/>
          <w:vertAlign w:val="baseline"/>
        </w:rPr>
        <w:t>帮助优化细胞系的转染条件。一旦确定了用来转染的最佳条件，可以在每一次实验都包括荧光标记</w:t>
      </w:r>
      <w:r>
        <w:rPr>
          <w:rFonts w:ascii="Arial" w:eastAsia="Arial"/>
          <w:sz w:val="20"/>
          <w:vertAlign w:val="baseline"/>
        </w:rPr>
        <w:t>siRNA</w:t>
      </w:r>
      <w:r>
        <w:rPr>
          <w:sz w:val="20"/>
          <w:vertAlign w:val="baseline"/>
        </w:rPr>
        <w:t>，作为转染效率的指示剂</w:t>
      </w:r>
    </w:p>
    <w:p>
      <w:pPr>
        <w:pStyle w:val="4"/>
        <w:numPr>
          <w:ilvl w:val="0"/>
          <w:numId w:val="3"/>
        </w:numPr>
        <w:tabs>
          <w:tab w:val="left" w:pos="676"/>
        </w:tabs>
        <w:spacing w:before="0" w:after="0" w:line="260" w:lineRule="exact"/>
        <w:ind w:left="676" w:right="0" w:hanging="319"/>
        <w:jc w:val="both"/>
        <w:rPr>
          <w:b/>
          <w:sz w:val="26"/>
        </w:rPr>
      </w:pPr>
      <w:r>
        <w:t>转染步骤</w:t>
      </w:r>
      <w:bookmarkStart w:id="0" w:name="_GoBack"/>
      <w:bookmarkEnd w:id="0"/>
    </w:p>
    <w:p>
      <w:pPr>
        <w:pStyle w:val="5"/>
        <w:ind w:left="777"/>
      </w:pPr>
      <w:r>
        <w:t>以</w:t>
      </w:r>
      <w:r>
        <w:rPr>
          <w:rFonts w:ascii="Arial" w:eastAsia="Arial"/>
        </w:rPr>
        <w:t>Lipofectamine</w:t>
      </w:r>
      <w:r>
        <w:rPr>
          <w:rFonts w:ascii="Arial" w:eastAsia="Arial"/>
          <w:vertAlign w:val="superscript"/>
        </w:rPr>
        <w:t>TM</w:t>
      </w:r>
      <w:r>
        <w:rPr>
          <w:rFonts w:ascii="Arial" w:eastAsia="Arial"/>
          <w:vertAlign w:val="baseline"/>
        </w:rPr>
        <w:t xml:space="preserve"> 2000 </w:t>
      </w:r>
      <w:r>
        <w:rPr>
          <w:vertAlign w:val="baseline"/>
        </w:rPr>
        <w:t>转染</w:t>
      </w:r>
      <w:r>
        <w:rPr>
          <w:rFonts w:ascii="Arial" w:eastAsia="Arial"/>
          <w:vertAlign w:val="baseline"/>
        </w:rPr>
        <w:t>siRNA</w:t>
      </w:r>
      <w:r>
        <w:rPr>
          <w:vertAlign w:val="baseline"/>
        </w:rPr>
        <w:t xml:space="preserve">于 24 孔板，转染浓度为 </w:t>
      </w:r>
      <w:r>
        <w:rPr>
          <w:rFonts w:ascii="Arial" w:eastAsia="Arial"/>
          <w:vertAlign w:val="baseline"/>
        </w:rPr>
        <w:t>50nM</w:t>
      </w:r>
      <w:r>
        <w:rPr>
          <w:vertAlign w:val="baseline"/>
        </w:rPr>
        <w:t xml:space="preserve">为例，其他规格容器转染请参考表 </w:t>
      </w:r>
      <w:r>
        <w:rPr>
          <w:rFonts w:ascii="Arial" w:eastAsia="Arial"/>
          <w:vertAlign w:val="baseline"/>
        </w:rPr>
        <w:t>2</w:t>
      </w:r>
      <w:r>
        <w:rPr>
          <w:vertAlign w:val="baseline"/>
        </w:rPr>
        <w:t>。</w:t>
      </w:r>
    </w:p>
    <w:p>
      <w:pPr>
        <w:pStyle w:val="5"/>
        <w:spacing w:before="3"/>
        <w:rPr>
          <w:sz w:val="25"/>
        </w:rPr>
      </w:pPr>
    </w:p>
    <w:p>
      <w:pPr>
        <w:pStyle w:val="9"/>
        <w:numPr>
          <w:ilvl w:val="0"/>
          <w:numId w:val="4"/>
        </w:numPr>
        <w:tabs>
          <w:tab w:val="left" w:pos="1138"/>
        </w:tabs>
        <w:spacing w:before="1" w:after="0" w:line="240" w:lineRule="auto"/>
        <w:ind w:left="1137" w:right="0" w:hanging="361"/>
        <w:jc w:val="left"/>
        <w:rPr>
          <w:b/>
          <w:sz w:val="22"/>
        </w:rPr>
      </w:pPr>
      <w:r>
        <w:rPr>
          <w:b/>
          <w:sz w:val="22"/>
        </w:rPr>
        <w:t>接种细胞</w:t>
      </w:r>
    </w:p>
    <w:p>
      <w:pPr>
        <w:pStyle w:val="5"/>
        <w:spacing w:before="38" w:line="280" w:lineRule="auto"/>
        <w:ind w:left="2201" w:right="126" w:hanging="1004"/>
      </w:pPr>
      <w:r>
        <w:rPr>
          <w:b/>
        </w:rPr>
        <w:t>贴壁细胞：</w:t>
      </w:r>
      <w:r>
        <w:rPr>
          <w:spacing w:val="-14"/>
        </w:rPr>
        <w:t xml:space="preserve">转染前 </w:t>
      </w:r>
      <w:r>
        <w:t xml:space="preserve">24 </w:t>
      </w:r>
      <w:r>
        <w:rPr>
          <w:rFonts w:ascii="Arial" w:hAnsi="Arial" w:eastAsia="Arial"/>
        </w:rPr>
        <w:t>hrs</w:t>
      </w:r>
      <w:r>
        <w:rPr>
          <w:spacing w:val="-17"/>
        </w:rPr>
        <w:t xml:space="preserve">，在 </w:t>
      </w:r>
      <w:r>
        <w:rPr>
          <w:rFonts w:ascii="Arial" w:hAnsi="Arial" w:eastAsia="Arial"/>
        </w:rPr>
        <w:t xml:space="preserve">400 µL </w:t>
      </w:r>
      <w:r>
        <w:rPr>
          <w:spacing w:val="-6"/>
        </w:rPr>
        <w:t xml:space="preserve">无抗培养基中接种 </w:t>
      </w:r>
      <w:r>
        <w:rPr>
          <w:rFonts w:ascii="Arial" w:hAnsi="Arial" w:eastAsia="Arial"/>
        </w:rPr>
        <w:t>0.5</w:t>
      </w:r>
      <w:r>
        <w:rPr>
          <w:rFonts w:ascii="Arial" w:hAnsi="Arial" w:eastAsia="Arial"/>
          <w:spacing w:val="-2"/>
        </w:rPr>
        <w:t xml:space="preserve"> - </w:t>
      </w:r>
      <w:r>
        <w:rPr>
          <w:rFonts w:ascii="Arial" w:hAnsi="Arial" w:eastAsia="Arial"/>
        </w:rPr>
        <w:t>2</w:t>
      </w:r>
      <w:r>
        <w:t>×</w:t>
      </w:r>
      <w:r>
        <w:rPr>
          <w:rFonts w:ascii="Arial" w:hAnsi="Arial" w:eastAsia="Arial"/>
        </w:rPr>
        <w:t xml:space="preserve">105 </w:t>
      </w:r>
      <w:r>
        <w:rPr>
          <w:spacing w:val="-4"/>
        </w:rPr>
        <w:t xml:space="preserve">个细胞，转染时细胞融合度为 </w:t>
      </w:r>
      <w:r>
        <w:rPr>
          <w:rFonts w:ascii="Arial" w:hAnsi="Arial" w:eastAsia="Arial"/>
        </w:rPr>
        <w:t>30</w:t>
      </w:r>
      <w:r>
        <w:rPr>
          <w:rFonts w:ascii="Arial" w:hAnsi="Arial" w:eastAsia="Arial"/>
          <w:spacing w:val="-2"/>
        </w:rPr>
        <w:t xml:space="preserve"> - </w:t>
      </w:r>
      <w:r>
        <w:rPr>
          <w:rFonts w:ascii="Arial" w:hAnsi="Arial" w:eastAsia="Arial"/>
        </w:rPr>
        <w:t>50%</w:t>
      </w:r>
      <w:r>
        <w:t>。(注：铺板时要将细胞消化完全混匀，避免细胞堆积生长。)</w:t>
      </w:r>
    </w:p>
    <w:p>
      <w:pPr>
        <w:pStyle w:val="5"/>
        <w:ind w:left="1197"/>
        <w:rPr>
          <w:rFonts w:ascii="Arial" w:hAnsi="Arial" w:eastAsia="Arial"/>
        </w:rPr>
      </w:pPr>
      <w:r>
        <w:rPr>
          <w:b/>
        </w:rPr>
        <w:t>悬浮细胞：</w:t>
      </w:r>
      <w:r>
        <w:t xml:space="preserve">转染前 </w:t>
      </w:r>
      <w:r>
        <w:rPr>
          <w:rFonts w:ascii="Arial" w:hAnsi="Arial" w:eastAsia="Arial"/>
        </w:rPr>
        <w:t>24 hrs</w:t>
      </w:r>
      <w:r>
        <w:t xml:space="preserve">，在 </w:t>
      </w:r>
      <w:r>
        <w:rPr>
          <w:rFonts w:ascii="Arial" w:hAnsi="Arial" w:eastAsia="Arial"/>
        </w:rPr>
        <w:t xml:space="preserve">400 µL </w:t>
      </w:r>
      <w:r>
        <w:t xml:space="preserve">无抗培养基中接种 </w:t>
      </w:r>
      <w:r>
        <w:rPr>
          <w:rFonts w:ascii="Arial" w:hAnsi="Arial" w:eastAsia="Arial"/>
        </w:rPr>
        <w:t xml:space="preserve">0.5 - 2×105 </w:t>
      </w:r>
      <w:r>
        <w:t xml:space="preserve">个细胞，转染时细胞数量应在 </w:t>
      </w:r>
      <w:r>
        <w:rPr>
          <w:rFonts w:ascii="Arial" w:hAnsi="Arial" w:eastAsia="Arial"/>
        </w:rPr>
        <w:t>4 - 8</w:t>
      </w:r>
      <w:r>
        <w:t>×</w:t>
      </w:r>
      <w:r>
        <w:rPr>
          <w:rFonts w:ascii="Arial" w:hAnsi="Arial" w:eastAsia="Arial"/>
        </w:rPr>
        <w:t>105/</w:t>
      </w:r>
    </w:p>
    <w:p>
      <w:pPr>
        <w:pStyle w:val="5"/>
        <w:spacing w:before="44"/>
        <w:ind w:left="1197"/>
      </w:pPr>
      <w:r>
        <w:t>孔。</w:t>
      </w:r>
    </w:p>
    <w:p>
      <w:pPr>
        <w:pStyle w:val="5"/>
        <w:spacing w:before="3"/>
        <w:rPr>
          <w:sz w:val="25"/>
        </w:rPr>
      </w:pPr>
    </w:p>
    <w:p>
      <w:pPr>
        <w:pStyle w:val="3"/>
        <w:numPr>
          <w:ilvl w:val="0"/>
          <w:numId w:val="4"/>
        </w:numPr>
        <w:tabs>
          <w:tab w:val="left" w:pos="1138"/>
        </w:tabs>
        <w:spacing w:before="0" w:after="0" w:line="240" w:lineRule="auto"/>
        <w:ind w:left="1137" w:right="0" w:hanging="361"/>
        <w:jc w:val="left"/>
      </w:pPr>
      <w:r>
        <w:t>转染步骤</w:t>
      </w:r>
    </w:p>
    <w:p>
      <w:pPr>
        <w:pStyle w:val="9"/>
        <w:numPr>
          <w:ilvl w:val="1"/>
          <w:numId w:val="4"/>
        </w:numPr>
        <w:tabs>
          <w:tab w:val="left" w:pos="1408"/>
          <w:tab w:val="left" w:pos="7026"/>
        </w:tabs>
        <w:spacing w:before="38" w:after="0" w:line="240" w:lineRule="auto"/>
        <w:ind w:left="1407" w:right="0" w:hanging="271"/>
        <w:jc w:val="left"/>
        <w:rPr>
          <w:sz w:val="20"/>
        </w:rPr>
      </w:pPr>
      <w:r>
        <w:rPr>
          <w:sz w:val="20"/>
        </w:rPr>
        <w:t>用</w:t>
      </w:r>
      <w:r>
        <w:rPr>
          <w:spacing w:val="-52"/>
          <w:sz w:val="20"/>
        </w:rPr>
        <w:t xml:space="preserve"> </w:t>
      </w:r>
      <w:r>
        <w:rPr>
          <w:rFonts w:ascii="Arial" w:hAnsi="Arial" w:eastAsia="Arial"/>
          <w:sz w:val="20"/>
        </w:rPr>
        <w:t>50</w:t>
      </w:r>
      <w:r>
        <w:rPr>
          <w:rFonts w:ascii="Arial" w:hAnsi="Arial" w:eastAsia="Arial"/>
          <w:spacing w:val="-2"/>
          <w:sz w:val="20"/>
        </w:rPr>
        <w:t xml:space="preserve"> </w:t>
      </w:r>
      <w:r>
        <w:rPr>
          <w:rFonts w:ascii="Arial" w:hAnsi="Arial" w:eastAsia="Arial"/>
          <w:sz w:val="20"/>
        </w:rPr>
        <w:t>µL</w:t>
      </w:r>
      <w:r>
        <w:rPr>
          <w:rFonts w:ascii="Arial" w:hAnsi="Arial" w:eastAsia="Arial"/>
          <w:spacing w:val="-10"/>
          <w:sz w:val="20"/>
        </w:rPr>
        <w:t xml:space="preserve"> </w:t>
      </w:r>
      <w:r>
        <w:rPr>
          <w:rFonts w:ascii="Arial" w:hAnsi="Arial" w:eastAsia="Arial"/>
          <w:sz w:val="20"/>
        </w:rPr>
        <w:t>Opti-MEM</w:t>
      </w:r>
      <w:r>
        <w:rPr>
          <w:rFonts w:ascii="Arial" w:hAnsi="Arial" w:eastAsia="Arial"/>
          <w:spacing w:val="-7"/>
          <w:sz w:val="20"/>
        </w:rPr>
        <w:t xml:space="preserve"> </w:t>
      </w:r>
      <w:r>
        <w:rPr>
          <w:sz w:val="20"/>
        </w:rPr>
        <w:t>稀释</w:t>
      </w:r>
      <w:r>
        <w:rPr>
          <w:spacing w:val="-52"/>
          <w:sz w:val="20"/>
        </w:rPr>
        <w:t xml:space="preserve"> </w:t>
      </w:r>
      <w:r>
        <w:rPr>
          <w:rFonts w:ascii="Arial" w:hAnsi="Arial" w:eastAsia="Arial"/>
          <w:sz w:val="20"/>
        </w:rPr>
        <w:t>siRNA</w:t>
      </w:r>
      <w:r>
        <w:rPr>
          <w:rFonts w:ascii="Arial" w:hAnsi="Arial" w:eastAsia="Arial"/>
          <w:spacing w:val="-14"/>
          <w:sz w:val="20"/>
        </w:rPr>
        <w:t xml:space="preserve"> </w:t>
      </w:r>
      <w:r>
        <w:rPr>
          <w:sz w:val="20"/>
        </w:rPr>
        <w:t>(转染细胞的终浓度为</w:t>
      </w:r>
      <w:r>
        <w:rPr>
          <w:spacing w:val="-51"/>
          <w:sz w:val="20"/>
        </w:rPr>
        <w:t xml:space="preserve"> </w:t>
      </w:r>
      <w:r>
        <w:rPr>
          <w:rFonts w:ascii="Arial" w:hAnsi="Arial" w:eastAsia="Arial"/>
          <w:sz w:val="20"/>
        </w:rPr>
        <w:t>50</w:t>
      </w:r>
      <w:r>
        <w:rPr>
          <w:rFonts w:ascii="Arial" w:hAnsi="Arial" w:eastAsia="Arial"/>
          <w:spacing w:val="-3"/>
          <w:sz w:val="20"/>
        </w:rPr>
        <w:t xml:space="preserve"> </w:t>
      </w:r>
      <w:r>
        <w:rPr>
          <w:rFonts w:ascii="Arial" w:hAnsi="Arial" w:eastAsia="Arial"/>
          <w:sz w:val="20"/>
        </w:rPr>
        <w:t>nM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，轻轻吹吸</w:t>
      </w:r>
      <w:r>
        <w:rPr>
          <w:spacing w:val="-50"/>
          <w:sz w:val="20"/>
        </w:rPr>
        <w:t xml:space="preserve"> </w:t>
      </w:r>
      <w:r>
        <w:rPr>
          <w:rFonts w:ascii="Arial" w:hAnsi="Arial" w:eastAsia="Arial"/>
          <w:sz w:val="20"/>
        </w:rPr>
        <w:t>3</w:t>
      </w:r>
      <w:r>
        <w:rPr>
          <w:rFonts w:ascii="Arial" w:hAnsi="Arial" w:eastAsia="Arial"/>
          <w:spacing w:val="-2"/>
          <w:sz w:val="20"/>
        </w:rPr>
        <w:t xml:space="preserve"> </w:t>
      </w:r>
      <w:r>
        <w:rPr>
          <w:rFonts w:ascii="Arial" w:hAnsi="Arial" w:eastAsia="Arial"/>
          <w:sz w:val="20"/>
        </w:rPr>
        <w:t>-</w:t>
      </w:r>
      <w:r>
        <w:rPr>
          <w:rFonts w:ascii="Arial" w:hAnsi="Arial" w:eastAsia="Arial"/>
          <w:spacing w:val="-1"/>
          <w:sz w:val="20"/>
        </w:rPr>
        <w:t xml:space="preserve"> </w:t>
      </w:r>
      <w:r>
        <w:rPr>
          <w:rFonts w:ascii="Arial" w:hAnsi="Arial" w:eastAsia="Arial"/>
          <w:sz w:val="20"/>
        </w:rPr>
        <w:t>5</w:t>
      </w:r>
      <w:r>
        <w:rPr>
          <w:rFonts w:ascii="Arial" w:hAnsi="Arial" w:eastAsia="Arial"/>
          <w:spacing w:val="43"/>
          <w:sz w:val="20"/>
        </w:rPr>
        <w:t xml:space="preserve"> </w:t>
      </w:r>
      <w:r>
        <w:rPr>
          <w:sz w:val="20"/>
        </w:rPr>
        <w:t>次混匀。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000" w:right="360" w:bottom="1300" w:left="420" w:header="720" w:footer="720" w:gutter="0"/>
        </w:sectPr>
      </w:pPr>
    </w:p>
    <w:p>
      <w:pPr>
        <w:pStyle w:val="5"/>
        <w:rPr>
          <w:sz w:val="4"/>
        </w:rPr>
      </w:pPr>
    </w:p>
    <w:p>
      <w:pPr>
        <w:pStyle w:val="5"/>
        <w:spacing w:line="20" w:lineRule="exact"/>
        <w:ind w:left="109"/>
        <w:rPr>
          <w:sz w:val="2"/>
        </w:rPr>
      </w:pPr>
      <w:r>
        <w:rPr>
          <w:sz w:val="2"/>
        </w:rPr>
        <w:pict>
          <v:group id="_x0000_s1028" o:spid="_x0000_s1028" o:spt="203" style="height:0.75pt;width:541.7pt;" coordsize="10834,15">
            <o:lock v:ext="edit"/>
            <v:line id="_x0000_s1029" o:spid="_x0000_s1029" o:spt="20" style="position:absolute;left:0;top:7;height:0;width:10834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9"/>
        <w:numPr>
          <w:ilvl w:val="1"/>
          <w:numId w:val="4"/>
        </w:numPr>
        <w:tabs>
          <w:tab w:val="left" w:pos="1408"/>
        </w:tabs>
        <w:spacing w:before="35" w:after="0" w:line="280" w:lineRule="auto"/>
        <w:ind w:left="1557" w:right="201" w:hanging="421"/>
        <w:jc w:val="left"/>
        <w:rPr>
          <w:sz w:val="20"/>
        </w:rPr>
      </w:pPr>
      <w:r>
        <w:rPr>
          <w:spacing w:val="-6"/>
          <w:sz w:val="20"/>
        </w:rPr>
        <w:t xml:space="preserve">轻轻颠倒混匀转染试剂，用 </w:t>
      </w:r>
      <w:r>
        <w:rPr>
          <w:rFonts w:ascii="Arial" w:hAnsi="Arial" w:eastAsia="Arial"/>
          <w:sz w:val="20"/>
        </w:rPr>
        <w:t>50µL</w:t>
      </w:r>
      <w:r>
        <w:rPr>
          <w:rFonts w:ascii="Arial" w:hAnsi="Arial" w:eastAsia="Arial"/>
          <w:spacing w:val="-15"/>
          <w:sz w:val="20"/>
        </w:rPr>
        <w:t xml:space="preserve"> </w:t>
      </w:r>
      <w:r>
        <w:rPr>
          <w:rFonts w:ascii="Arial" w:hAnsi="Arial" w:eastAsia="Arial"/>
          <w:sz w:val="20"/>
        </w:rPr>
        <w:t>Opti-MEM</w:t>
      </w:r>
      <w:r>
        <w:rPr>
          <w:spacing w:val="-18"/>
          <w:sz w:val="20"/>
        </w:rPr>
        <w:t xml:space="preserve">稀释 </w:t>
      </w:r>
      <w:r>
        <w:rPr>
          <w:rFonts w:ascii="Arial" w:hAnsi="Arial" w:eastAsia="Arial"/>
          <w:sz w:val="20"/>
        </w:rPr>
        <w:t>1.0</w:t>
      </w:r>
      <w:r>
        <w:rPr>
          <w:rFonts w:ascii="Arial" w:hAnsi="Arial" w:eastAsia="Arial"/>
          <w:spacing w:val="-9"/>
          <w:sz w:val="20"/>
        </w:rPr>
        <w:t xml:space="preserve"> </w:t>
      </w:r>
      <w:r>
        <w:rPr>
          <w:rFonts w:ascii="Arial" w:hAnsi="Arial" w:eastAsia="Arial"/>
          <w:sz w:val="20"/>
        </w:rPr>
        <w:t>µL</w:t>
      </w:r>
      <w:r>
        <w:rPr>
          <w:rFonts w:ascii="Arial" w:hAnsi="Arial" w:eastAsia="Arial"/>
          <w:spacing w:val="-16"/>
          <w:sz w:val="20"/>
        </w:rPr>
        <w:t xml:space="preserve"> </w:t>
      </w:r>
      <w:r>
        <w:rPr>
          <w:rFonts w:ascii="Arial" w:hAnsi="Arial" w:eastAsia="Arial"/>
          <w:sz w:val="20"/>
        </w:rPr>
        <w:t>Lipofectamine</w:t>
      </w:r>
      <w:r>
        <w:rPr>
          <w:rFonts w:ascii="Arial" w:hAnsi="Arial" w:eastAsia="Arial"/>
          <w:sz w:val="20"/>
          <w:vertAlign w:val="superscript"/>
        </w:rPr>
        <w:t>TM</w:t>
      </w:r>
      <w:r>
        <w:rPr>
          <w:rFonts w:ascii="Arial" w:hAnsi="Arial" w:eastAsia="Arial"/>
          <w:spacing w:val="-9"/>
          <w:sz w:val="20"/>
          <w:vertAlign w:val="baseline"/>
        </w:rPr>
        <w:t xml:space="preserve"> </w:t>
      </w:r>
      <w:r>
        <w:rPr>
          <w:rFonts w:ascii="Arial" w:hAnsi="Arial" w:eastAsia="Arial"/>
          <w:spacing w:val="-3"/>
          <w:sz w:val="20"/>
          <w:vertAlign w:val="baseline"/>
        </w:rPr>
        <w:t>2000</w:t>
      </w:r>
      <w:r>
        <w:rPr>
          <w:spacing w:val="-11"/>
          <w:sz w:val="20"/>
          <w:vertAlign w:val="baseline"/>
        </w:rPr>
        <w:t xml:space="preserve">，轻轻吹吸 </w:t>
      </w:r>
      <w:r>
        <w:rPr>
          <w:rFonts w:ascii="Arial" w:hAnsi="Arial" w:eastAsia="Arial"/>
          <w:sz w:val="20"/>
          <w:vertAlign w:val="baseline"/>
        </w:rPr>
        <w:t>3</w:t>
      </w:r>
      <w:r>
        <w:rPr>
          <w:rFonts w:ascii="Arial" w:hAnsi="Arial" w:eastAsia="Arial"/>
          <w:spacing w:val="-6"/>
          <w:sz w:val="20"/>
          <w:vertAlign w:val="baseline"/>
        </w:rPr>
        <w:t xml:space="preserve"> – </w:t>
      </w:r>
      <w:r>
        <w:rPr>
          <w:rFonts w:ascii="Arial" w:hAnsi="Arial" w:eastAsia="Arial"/>
          <w:sz w:val="20"/>
          <w:vertAlign w:val="baseline"/>
        </w:rPr>
        <w:t>5</w:t>
      </w:r>
      <w:r>
        <w:rPr>
          <w:rFonts w:ascii="Arial" w:hAnsi="Arial" w:eastAsia="Arial"/>
          <w:spacing w:val="-6"/>
          <w:sz w:val="20"/>
          <w:vertAlign w:val="baseline"/>
        </w:rPr>
        <w:t xml:space="preserve"> </w:t>
      </w:r>
      <w:r>
        <w:rPr>
          <w:spacing w:val="-4"/>
          <w:sz w:val="20"/>
          <w:vertAlign w:val="baseline"/>
        </w:rPr>
        <w:t>次混匀，室温</w:t>
      </w:r>
      <w:r>
        <w:rPr>
          <w:spacing w:val="-16"/>
          <w:sz w:val="20"/>
          <w:vertAlign w:val="baseline"/>
        </w:rPr>
        <w:t xml:space="preserve">下静置 </w:t>
      </w:r>
      <w:r>
        <w:rPr>
          <w:rFonts w:ascii="Arial" w:hAnsi="Arial" w:eastAsia="Arial"/>
          <w:sz w:val="20"/>
          <w:vertAlign w:val="baseline"/>
        </w:rPr>
        <w:t>5</w:t>
      </w:r>
      <w:r>
        <w:rPr>
          <w:rFonts w:ascii="Arial" w:hAnsi="Arial" w:eastAsia="Arial"/>
          <w:spacing w:val="-1"/>
          <w:sz w:val="20"/>
          <w:vertAlign w:val="baseline"/>
        </w:rPr>
        <w:t xml:space="preserve"> </w:t>
      </w:r>
      <w:r>
        <w:rPr>
          <w:rFonts w:ascii="Arial" w:hAnsi="Arial" w:eastAsia="Arial"/>
          <w:sz w:val="20"/>
          <w:vertAlign w:val="baseline"/>
        </w:rPr>
        <w:t>min</w:t>
      </w:r>
      <w:r>
        <w:rPr>
          <w:sz w:val="20"/>
          <w:vertAlign w:val="baseline"/>
        </w:rPr>
        <w:t>。</w:t>
      </w:r>
    </w:p>
    <w:p>
      <w:pPr>
        <w:pStyle w:val="9"/>
        <w:numPr>
          <w:ilvl w:val="1"/>
          <w:numId w:val="4"/>
        </w:numPr>
        <w:tabs>
          <w:tab w:val="left" w:pos="1408"/>
        </w:tabs>
        <w:spacing w:before="1" w:after="0" w:line="240" w:lineRule="auto"/>
        <w:ind w:left="1407" w:right="0" w:hanging="271"/>
        <w:jc w:val="left"/>
        <w:rPr>
          <w:sz w:val="20"/>
        </w:rPr>
      </w:pPr>
      <w:r>
        <w:rPr>
          <w:spacing w:val="-7"/>
          <w:sz w:val="20"/>
        </w:rPr>
        <w:t xml:space="preserve">混合转染试剂和 </w:t>
      </w:r>
      <w:r>
        <w:rPr>
          <w:rFonts w:ascii="Arial" w:eastAsia="Arial"/>
          <w:sz w:val="20"/>
        </w:rPr>
        <w:t>siRNA</w:t>
      </w:r>
      <w:r>
        <w:rPr>
          <w:rFonts w:ascii="Arial" w:eastAsia="Arial"/>
          <w:spacing w:val="-6"/>
          <w:sz w:val="20"/>
        </w:rPr>
        <w:t xml:space="preserve"> </w:t>
      </w:r>
      <w:r>
        <w:rPr>
          <w:spacing w:val="-6"/>
          <w:sz w:val="20"/>
        </w:rPr>
        <w:t xml:space="preserve">稀释液，轻轻吹吸 </w:t>
      </w:r>
      <w:r>
        <w:rPr>
          <w:rFonts w:ascii="Arial" w:eastAsia="Arial"/>
          <w:sz w:val="20"/>
        </w:rPr>
        <w:t>3</w:t>
      </w:r>
      <w:r>
        <w:rPr>
          <w:rFonts w:ascii="Arial" w:eastAsia="Arial"/>
          <w:spacing w:val="-1"/>
          <w:sz w:val="20"/>
        </w:rPr>
        <w:t xml:space="preserve"> - </w:t>
      </w:r>
      <w:r>
        <w:rPr>
          <w:rFonts w:ascii="Arial" w:eastAsia="Arial"/>
          <w:sz w:val="20"/>
        </w:rPr>
        <w:t>5</w:t>
      </w:r>
      <w:r>
        <w:rPr>
          <w:rFonts w:ascii="Arial" w:eastAsia="Arial"/>
          <w:spacing w:val="43"/>
          <w:sz w:val="20"/>
        </w:rPr>
        <w:t xml:space="preserve"> </w:t>
      </w:r>
      <w:r>
        <w:rPr>
          <w:spacing w:val="-5"/>
          <w:sz w:val="20"/>
        </w:rPr>
        <w:t xml:space="preserve">次混匀，室温下静置 </w:t>
      </w:r>
      <w:r>
        <w:rPr>
          <w:rFonts w:ascii="Arial" w:eastAsia="Arial"/>
          <w:sz w:val="20"/>
        </w:rPr>
        <w:t>20</w:t>
      </w:r>
      <w:r>
        <w:rPr>
          <w:rFonts w:ascii="Arial" w:eastAsia="Arial"/>
          <w:spacing w:val="-1"/>
          <w:sz w:val="20"/>
        </w:rPr>
        <w:t xml:space="preserve"> </w:t>
      </w:r>
      <w:r>
        <w:rPr>
          <w:rFonts w:ascii="Arial" w:eastAsia="Arial"/>
          <w:sz w:val="20"/>
        </w:rPr>
        <w:t>min</w:t>
      </w:r>
      <w:r>
        <w:rPr>
          <w:sz w:val="20"/>
        </w:rPr>
        <w:t>。</w:t>
      </w:r>
    </w:p>
    <w:p>
      <w:pPr>
        <w:pStyle w:val="9"/>
        <w:numPr>
          <w:ilvl w:val="1"/>
          <w:numId w:val="4"/>
        </w:numPr>
        <w:tabs>
          <w:tab w:val="left" w:pos="1408"/>
        </w:tabs>
        <w:spacing w:before="43" w:after="0" w:line="240" w:lineRule="auto"/>
        <w:ind w:left="1407" w:right="0" w:hanging="271"/>
        <w:jc w:val="left"/>
        <w:rPr>
          <w:sz w:val="20"/>
        </w:rPr>
      </w:pPr>
      <w:r>
        <w:rPr>
          <w:spacing w:val="-6"/>
          <w:sz w:val="20"/>
        </w:rPr>
        <w:t xml:space="preserve">转染复合物加入到 </w:t>
      </w:r>
      <w:r>
        <w:rPr>
          <w:rFonts w:ascii="Arial" w:hAnsi="Arial" w:eastAsia="Arial"/>
          <w:sz w:val="20"/>
        </w:rPr>
        <w:t>24</w:t>
      </w:r>
      <w:r>
        <w:rPr>
          <w:rFonts w:ascii="Arial" w:hAnsi="Arial" w:eastAsia="Arial"/>
          <w:spacing w:val="-6"/>
          <w:sz w:val="20"/>
        </w:rPr>
        <w:t xml:space="preserve"> </w:t>
      </w:r>
      <w:r>
        <w:rPr>
          <w:sz w:val="20"/>
        </w:rPr>
        <w:t>孔细胞板中，</w:t>
      </w:r>
      <w:r>
        <w:rPr>
          <w:rFonts w:ascii="Arial" w:hAnsi="Arial" w:eastAsia="Arial"/>
          <w:sz w:val="20"/>
        </w:rPr>
        <w:t>100</w:t>
      </w:r>
      <w:r>
        <w:rPr>
          <w:rFonts w:ascii="Arial" w:hAnsi="Arial" w:eastAsia="Arial"/>
          <w:spacing w:val="-2"/>
          <w:sz w:val="20"/>
        </w:rPr>
        <w:t xml:space="preserve"> </w:t>
      </w:r>
      <w:r>
        <w:rPr>
          <w:rFonts w:ascii="Arial" w:hAnsi="Arial" w:eastAsia="Arial"/>
          <w:sz w:val="20"/>
        </w:rPr>
        <w:t>µL/</w:t>
      </w:r>
      <w:r>
        <w:rPr>
          <w:sz w:val="20"/>
        </w:rPr>
        <w:t>孔，前后轻摇细胞板混合均匀。</w:t>
      </w:r>
    </w:p>
    <w:p>
      <w:pPr>
        <w:pStyle w:val="9"/>
        <w:numPr>
          <w:ilvl w:val="1"/>
          <w:numId w:val="4"/>
        </w:numPr>
        <w:tabs>
          <w:tab w:val="left" w:pos="1408"/>
        </w:tabs>
        <w:spacing w:before="44" w:after="0" w:line="240" w:lineRule="auto"/>
        <w:ind w:left="1407" w:right="0" w:hanging="271"/>
        <w:jc w:val="left"/>
        <w:rPr>
          <w:sz w:val="20"/>
        </w:rPr>
      </w:pPr>
      <w:r>
        <w:rPr>
          <w:spacing w:val="-9"/>
          <w:sz w:val="20"/>
        </w:rPr>
        <w:t xml:space="preserve">细胞板置于 </w:t>
      </w:r>
      <w:r>
        <w:rPr>
          <w:rFonts w:ascii="Arial" w:hAnsi="Arial" w:eastAsia="Arial"/>
          <w:sz w:val="20"/>
        </w:rPr>
        <w:t>37</w:t>
      </w:r>
      <w:r>
        <w:rPr>
          <w:sz w:val="20"/>
        </w:rPr>
        <w:t>℃、</w:t>
      </w:r>
      <w:r>
        <w:rPr>
          <w:rFonts w:ascii="Arial" w:hAnsi="Arial" w:eastAsia="Arial"/>
          <w:sz w:val="20"/>
        </w:rPr>
        <w:t>5</w:t>
      </w:r>
      <w:r>
        <w:rPr>
          <w:rFonts w:ascii="Arial" w:hAnsi="Arial" w:eastAsia="Arial"/>
          <w:spacing w:val="-1"/>
          <w:sz w:val="20"/>
        </w:rPr>
        <w:t xml:space="preserve">% </w:t>
      </w:r>
      <w:r>
        <w:rPr>
          <w:rFonts w:ascii="Arial" w:hAnsi="Arial" w:eastAsia="Arial"/>
          <w:sz w:val="20"/>
        </w:rPr>
        <w:t>CO</w:t>
      </w:r>
      <w:r>
        <w:rPr>
          <w:rFonts w:ascii="Arial" w:hAnsi="Arial" w:eastAsia="Arial"/>
          <w:sz w:val="20"/>
          <w:vertAlign w:val="subscript"/>
        </w:rPr>
        <w:t>2</w:t>
      </w:r>
      <w:r>
        <w:rPr>
          <w:spacing w:val="-8"/>
          <w:sz w:val="20"/>
          <w:vertAlign w:val="baseline"/>
        </w:rPr>
        <w:t xml:space="preserve">培养箱中培养 </w:t>
      </w:r>
      <w:r>
        <w:rPr>
          <w:rFonts w:ascii="Arial" w:hAnsi="Arial" w:eastAsia="Arial"/>
          <w:sz w:val="20"/>
          <w:vertAlign w:val="baseline"/>
        </w:rPr>
        <w:t>18</w:t>
      </w:r>
      <w:r>
        <w:rPr>
          <w:rFonts w:ascii="Arial" w:hAnsi="Arial" w:eastAsia="Arial"/>
          <w:spacing w:val="-2"/>
          <w:sz w:val="20"/>
          <w:vertAlign w:val="baseline"/>
        </w:rPr>
        <w:t xml:space="preserve"> - </w:t>
      </w:r>
      <w:r>
        <w:rPr>
          <w:rFonts w:ascii="Arial" w:hAnsi="Arial" w:eastAsia="Arial"/>
          <w:sz w:val="20"/>
          <w:vertAlign w:val="baseline"/>
        </w:rPr>
        <w:t>48</w:t>
      </w:r>
      <w:r>
        <w:rPr>
          <w:rFonts w:ascii="Arial" w:hAnsi="Arial" w:eastAsia="Arial"/>
          <w:spacing w:val="-1"/>
          <w:sz w:val="20"/>
          <w:vertAlign w:val="baseline"/>
        </w:rPr>
        <w:t xml:space="preserve"> </w:t>
      </w:r>
      <w:r>
        <w:rPr>
          <w:rFonts w:ascii="Arial" w:hAnsi="Arial" w:eastAsia="Arial"/>
          <w:sz w:val="20"/>
          <w:vertAlign w:val="baseline"/>
        </w:rPr>
        <w:t>hrs</w:t>
      </w:r>
      <w:r>
        <w:rPr>
          <w:spacing w:val="-13"/>
          <w:sz w:val="20"/>
          <w:vertAlign w:val="baseline"/>
        </w:rPr>
        <w:t xml:space="preserve">。转染 </w:t>
      </w:r>
      <w:r>
        <w:rPr>
          <w:rFonts w:ascii="Arial" w:hAnsi="Arial" w:eastAsia="Arial"/>
          <w:sz w:val="20"/>
          <w:vertAlign w:val="baseline"/>
        </w:rPr>
        <w:t>4</w:t>
      </w:r>
      <w:r>
        <w:rPr>
          <w:rFonts w:ascii="Arial" w:hAnsi="Arial" w:eastAsia="Arial"/>
          <w:spacing w:val="-1"/>
          <w:sz w:val="20"/>
          <w:vertAlign w:val="baseline"/>
        </w:rPr>
        <w:t xml:space="preserve"> - </w:t>
      </w:r>
      <w:r>
        <w:rPr>
          <w:rFonts w:ascii="Arial" w:hAnsi="Arial" w:eastAsia="Arial"/>
          <w:sz w:val="20"/>
          <w:vertAlign w:val="baseline"/>
        </w:rPr>
        <w:t>6</w:t>
      </w:r>
      <w:r>
        <w:rPr>
          <w:rFonts w:ascii="Arial" w:hAnsi="Arial" w:eastAsia="Arial"/>
          <w:spacing w:val="-1"/>
          <w:sz w:val="20"/>
          <w:vertAlign w:val="baseline"/>
        </w:rPr>
        <w:t xml:space="preserve"> </w:t>
      </w:r>
      <w:r>
        <w:rPr>
          <w:rFonts w:ascii="Arial" w:hAnsi="Arial" w:eastAsia="Arial"/>
          <w:sz w:val="20"/>
          <w:vertAlign w:val="baseline"/>
        </w:rPr>
        <w:t>hrs</w:t>
      </w:r>
      <w:r>
        <w:rPr>
          <w:rFonts w:ascii="Arial" w:hAnsi="Arial" w:eastAsia="Arial"/>
          <w:spacing w:val="43"/>
          <w:sz w:val="20"/>
          <w:vertAlign w:val="baseline"/>
        </w:rPr>
        <w:t xml:space="preserve"> </w:t>
      </w:r>
      <w:r>
        <w:rPr>
          <w:sz w:val="20"/>
          <w:vertAlign w:val="baseline"/>
        </w:rPr>
        <w:t>后可换新鲜培养基表</w:t>
      </w:r>
    </w:p>
    <w:p>
      <w:pPr>
        <w:pStyle w:val="5"/>
        <w:spacing w:before="11"/>
        <w:rPr>
          <w:sz w:val="26"/>
        </w:rPr>
      </w:pPr>
    </w:p>
    <w:p>
      <w:pPr>
        <w:pStyle w:val="5"/>
        <w:ind w:left="2160" w:right="2214"/>
        <w:jc w:val="center"/>
      </w:pPr>
      <w:r>
        <w:rPr>
          <w:b/>
        </w:rPr>
        <w:t xml:space="preserve">表 </w:t>
      </w:r>
      <w:r>
        <w:rPr>
          <w:rFonts w:ascii="Arial" w:eastAsia="Arial"/>
          <w:b/>
        </w:rPr>
        <w:t xml:space="preserve">2 </w:t>
      </w:r>
      <w:r>
        <w:t xml:space="preserve">使用 </w:t>
      </w:r>
      <w:r>
        <w:rPr>
          <w:rFonts w:ascii="Arial" w:eastAsia="Arial"/>
        </w:rPr>
        <w:t>lipofectamine2000(invitrogen)</w:t>
      </w:r>
      <w:r>
        <w:t xml:space="preserve">转染 </w:t>
      </w:r>
      <w:r>
        <w:rPr>
          <w:rFonts w:ascii="Arial" w:eastAsia="Arial"/>
        </w:rPr>
        <w:t xml:space="preserve">siRNA </w:t>
      </w:r>
      <w:r>
        <w:t>产品用量参考</w:t>
      </w:r>
    </w:p>
    <w:p>
      <w:pPr>
        <w:pStyle w:val="5"/>
        <w:spacing w:before="44" w:after="4"/>
        <w:ind w:left="2161" w:right="2214"/>
        <w:jc w:val="center"/>
        <w:rPr>
          <w:rFonts w:ascii="Arial" w:hAnsi="Arial" w:eastAsia="Arial"/>
        </w:rPr>
      </w:pPr>
      <w:r>
        <w:rPr>
          <w:rFonts w:ascii="Arial" w:hAnsi="Arial" w:eastAsia="Arial"/>
        </w:rPr>
        <w:t>V1</w:t>
      </w:r>
      <w:r>
        <w:t>：完全或不完全培养基；</w:t>
      </w:r>
      <w:r>
        <w:rPr>
          <w:rFonts w:ascii="Arial" w:hAnsi="Arial" w:eastAsia="Arial"/>
        </w:rPr>
        <w:t>v2: Opti-MEM® I (</w:t>
      </w:r>
      <w:r>
        <w:t>无血清、无抗生素，转染专用</w:t>
      </w:r>
      <w:r>
        <w:rPr>
          <w:rFonts w:ascii="Arial" w:hAnsi="Arial" w:eastAsia="Arial"/>
        </w:rPr>
        <w:t>)</w:t>
      </w:r>
    </w:p>
    <w:tbl>
      <w:tblPr>
        <w:tblStyle w:val="6"/>
        <w:tblW w:w="0" w:type="auto"/>
        <w:tblInd w:w="1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2976"/>
        <w:gridCol w:w="994"/>
        <w:gridCol w:w="1842"/>
        <w:gridCol w:w="1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00" w:type="dxa"/>
            <w:shd w:val="clear" w:color="auto" w:fill="31859B"/>
          </w:tcPr>
          <w:p>
            <w:pPr>
              <w:pStyle w:val="10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shd w:val="clear" w:color="auto" w:fill="31859B"/>
          </w:tcPr>
          <w:p>
            <w:pPr>
              <w:pStyle w:val="10"/>
              <w:spacing w:before="29" w:line="250" w:lineRule="exact"/>
              <w:ind w:left="33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FFFFFF"/>
                <w:sz w:val="21"/>
              </w:rPr>
              <w:t>每孔中总体积(v1+v2+v2)</w:t>
            </w:r>
          </w:p>
        </w:tc>
        <w:tc>
          <w:tcPr>
            <w:tcW w:w="994" w:type="dxa"/>
            <w:shd w:val="clear" w:color="auto" w:fill="31859B"/>
          </w:tcPr>
          <w:p>
            <w:pPr>
              <w:pStyle w:val="10"/>
              <w:spacing w:before="29" w:line="250" w:lineRule="exact"/>
              <w:ind w:left="1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FFFFFF"/>
                <w:sz w:val="21"/>
              </w:rPr>
              <w:t>终浓度</w:t>
            </w:r>
          </w:p>
        </w:tc>
        <w:tc>
          <w:tcPr>
            <w:tcW w:w="1842" w:type="dxa"/>
            <w:shd w:val="clear" w:color="auto" w:fill="31859B"/>
          </w:tcPr>
          <w:p>
            <w:pPr>
              <w:pStyle w:val="10"/>
              <w:spacing w:before="29" w:line="250" w:lineRule="exact"/>
              <w:ind w:left="5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FFFFFF"/>
                <w:sz w:val="21"/>
              </w:rPr>
              <w:t>siRNA 产品</w:t>
            </w:r>
          </w:p>
        </w:tc>
        <w:tc>
          <w:tcPr>
            <w:tcW w:w="1648" w:type="dxa"/>
            <w:shd w:val="clear" w:color="auto" w:fill="31859B"/>
          </w:tcPr>
          <w:p>
            <w:pPr>
              <w:pStyle w:val="10"/>
              <w:spacing w:before="29" w:line="250" w:lineRule="exact"/>
              <w:ind w:left="35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color w:val="FFFFFF"/>
                <w:sz w:val="21"/>
              </w:rPr>
              <w:t>lipo2000/孔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00" w:type="dxa"/>
            <w:vMerge w:val="restart"/>
          </w:tcPr>
          <w:p>
            <w:pPr>
              <w:pStyle w:val="10"/>
              <w:spacing w:before="0"/>
              <w:ind w:left="0"/>
              <w:rPr>
                <w:sz w:val="22"/>
              </w:rPr>
            </w:pPr>
          </w:p>
          <w:p>
            <w:pPr>
              <w:pStyle w:val="10"/>
              <w:spacing w:before="0"/>
              <w:ind w:left="0"/>
              <w:rPr>
                <w:sz w:val="22"/>
              </w:rPr>
            </w:pPr>
          </w:p>
          <w:p>
            <w:pPr>
              <w:pStyle w:val="10"/>
              <w:spacing w:before="160"/>
              <w:ind w:left="232"/>
              <w:rPr>
                <w:sz w:val="20"/>
              </w:rPr>
            </w:pPr>
            <w:r>
              <w:rPr>
                <w:sz w:val="20"/>
              </w:rPr>
              <w:t>96-well</w:t>
            </w:r>
          </w:p>
        </w:tc>
        <w:tc>
          <w:tcPr>
            <w:tcW w:w="2976" w:type="dxa"/>
            <w:shd w:val="clear" w:color="auto" w:fill="B6DDE8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100µl (50µl+25µl+25µl)</w:t>
            </w:r>
          </w:p>
        </w:tc>
        <w:tc>
          <w:tcPr>
            <w:tcW w:w="994" w:type="dxa"/>
            <w:shd w:val="clear" w:color="auto" w:fill="B6DDE8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100nM</w:t>
            </w:r>
          </w:p>
        </w:tc>
        <w:tc>
          <w:tcPr>
            <w:tcW w:w="1842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0.5µl</w:t>
            </w:r>
          </w:p>
        </w:tc>
        <w:tc>
          <w:tcPr>
            <w:tcW w:w="1648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0.25µl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100µl (50µl+25µl+25µl)</w:t>
            </w:r>
          </w:p>
        </w:tc>
        <w:tc>
          <w:tcPr>
            <w:tcW w:w="994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50nM</w:t>
            </w:r>
          </w:p>
        </w:tc>
        <w:tc>
          <w:tcPr>
            <w:tcW w:w="1842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0.25µl</w:t>
            </w:r>
          </w:p>
        </w:tc>
        <w:tc>
          <w:tcPr>
            <w:tcW w:w="1648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0.25µl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100µl (50µl+25µl+25µl)</w:t>
            </w:r>
          </w:p>
        </w:tc>
        <w:tc>
          <w:tcPr>
            <w:tcW w:w="994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30nM</w:t>
            </w:r>
          </w:p>
        </w:tc>
        <w:tc>
          <w:tcPr>
            <w:tcW w:w="1842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0.15µl</w:t>
            </w:r>
          </w:p>
        </w:tc>
        <w:tc>
          <w:tcPr>
            <w:tcW w:w="1648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0.25µl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100µl (50µl+25µl+25µl)</w:t>
            </w:r>
          </w:p>
        </w:tc>
        <w:tc>
          <w:tcPr>
            <w:tcW w:w="994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20nM</w:t>
            </w:r>
          </w:p>
        </w:tc>
        <w:tc>
          <w:tcPr>
            <w:tcW w:w="1842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0.1µl</w:t>
            </w:r>
          </w:p>
        </w:tc>
        <w:tc>
          <w:tcPr>
            <w:tcW w:w="1648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0.25µl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100µl (50µl+25µl+25µl)</w:t>
            </w:r>
          </w:p>
        </w:tc>
        <w:tc>
          <w:tcPr>
            <w:tcW w:w="994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10nM</w:t>
            </w:r>
          </w:p>
        </w:tc>
        <w:tc>
          <w:tcPr>
            <w:tcW w:w="1842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0.05µl</w:t>
            </w:r>
          </w:p>
        </w:tc>
        <w:tc>
          <w:tcPr>
            <w:tcW w:w="1648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0.25µl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00" w:type="dxa"/>
            <w:vMerge w:val="restart"/>
          </w:tcPr>
          <w:p>
            <w:pPr>
              <w:pStyle w:val="10"/>
              <w:spacing w:before="0"/>
              <w:ind w:left="0"/>
              <w:rPr>
                <w:sz w:val="22"/>
              </w:rPr>
            </w:pPr>
          </w:p>
          <w:p>
            <w:pPr>
              <w:pStyle w:val="10"/>
              <w:spacing w:before="0"/>
              <w:ind w:left="0"/>
              <w:rPr>
                <w:sz w:val="22"/>
              </w:rPr>
            </w:pPr>
          </w:p>
          <w:p>
            <w:pPr>
              <w:pStyle w:val="10"/>
              <w:spacing w:before="160"/>
              <w:ind w:left="232"/>
              <w:rPr>
                <w:sz w:val="20"/>
              </w:rPr>
            </w:pPr>
            <w:r>
              <w:rPr>
                <w:sz w:val="20"/>
              </w:rPr>
              <w:t>24-well</w:t>
            </w:r>
          </w:p>
        </w:tc>
        <w:tc>
          <w:tcPr>
            <w:tcW w:w="2976" w:type="dxa"/>
            <w:shd w:val="clear" w:color="auto" w:fill="B6DDE8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500µl (400µl+50µl+50µl)</w:t>
            </w:r>
          </w:p>
        </w:tc>
        <w:tc>
          <w:tcPr>
            <w:tcW w:w="994" w:type="dxa"/>
            <w:shd w:val="clear" w:color="auto" w:fill="B6DDE8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100nM</w:t>
            </w:r>
          </w:p>
        </w:tc>
        <w:tc>
          <w:tcPr>
            <w:tcW w:w="1842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2.5µl</w:t>
            </w:r>
          </w:p>
        </w:tc>
        <w:tc>
          <w:tcPr>
            <w:tcW w:w="1648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500µl (400µl+50µl+50µl)</w:t>
            </w:r>
          </w:p>
        </w:tc>
        <w:tc>
          <w:tcPr>
            <w:tcW w:w="994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50nM</w:t>
            </w:r>
          </w:p>
        </w:tc>
        <w:tc>
          <w:tcPr>
            <w:tcW w:w="1842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1.25µl</w:t>
            </w:r>
          </w:p>
        </w:tc>
        <w:tc>
          <w:tcPr>
            <w:tcW w:w="1648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500µl (400µl+50µl+50µl)</w:t>
            </w:r>
          </w:p>
        </w:tc>
        <w:tc>
          <w:tcPr>
            <w:tcW w:w="994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30nM</w:t>
            </w:r>
          </w:p>
        </w:tc>
        <w:tc>
          <w:tcPr>
            <w:tcW w:w="1842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0.75µl</w:t>
            </w:r>
          </w:p>
        </w:tc>
        <w:tc>
          <w:tcPr>
            <w:tcW w:w="1648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500µl (400µl+50µl+50µl)</w:t>
            </w:r>
          </w:p>
        </w:tc>
        <w:tc>
          <w:tcPr>
            <w:tcW w:w="994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20nM</w:t>
            </w:r>
          </w:p>
        </w:tc>
        <w:tc>
          <w:tcPr>
            <w:tcW w:w="1842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0.5µl</w:t>
            </w:r>
          </w:p>
        </w:tc>
        <w:tc>
          <w:tcPr>
            <w:tcW w:w="1648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500µl (400µl+50µl+50µl)</w:t>
            </w:r>
          </w:p>
        </w:tc>
        <w:tc>
          <w:tcPr>
            <w:tcW w:w="994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10nM</w:t>
            </w:r>
          </w:p>
        </w:tc>
        <w:tc>
          <w:tcPr>
            <w:tcW w:w="1842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0.25µl</w:t>
            </w:r>
          </w:p>
        </w:tc>
        <w:tc>
          <w:tcPr>
            <w:tcW w:w="1648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0" w:type="dxa"/>
            <w:vMerge w:val="restart"/>
          </w:tcPr>
          <w:p>
            <w:pPr>
              <w:pStyle w:val="10"/>
              <w:spacing w:before="0"/>
              <w:ind w:left="0"/>
              <w:rPr>
                <w:sz w:val="22"/>
              </w:rPr>
            </w:pPr>
          </w:p>
          <w:p>
            <w:pPr>
              <w:pStyle w:val="10"/>
              <w:spacing w:before="0"/>
              <w:ind w:left="0"/>
              <w:rPr>
                <w:sz w:val="22"/>
              </w:rPr>
            </w:pPr>
          </w:p>
          <w:p>
            <w:pPr>
              <w:pStyle w:val="10"/>
              <w:spacing w:before="160"/>
              <w:ind w:left="232"/>
              <w:rPr>
                <w:sz w:val="20"/>
              </w:rPr>
            </w:pPr>
            <w:r>
              <w:rPr>
                <w:sz w:val="20"/>
              </w:rPr>
              <w:t>12-well</w:t>
            </w:r>
          </w:p>
        </w:tc>
        <w:tc>
          <w:tcPr>
            <w:tcW w:w="2976" w:type="dxa"/>
            <w:shd w:val="clear" w:color="auto" w:fill="B6DDE8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1mL (800µl+100µl+100µl)</w:t>
            </w:r>
          </w:p>
        </w:tc>
        <w:tc>
          <w:tcPr>
            <w:tcW w:w="994" w:type="dxa"/>
            <w:shd w:val="clear" w:color="auto" w:fill="B6DDE8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100nM</w:t>
            </w:r>
          </w:p>
        </w:tc>
        <w:tc>
          <w:tcPr>
            <w:tcW w:w="1842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5µl</w:t>
            </w:r>
          </w:p>
        </w:tc>
        <w:tc>
          <w:tcPr>
            <w:tcW w:w="1648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2µl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1mL (800µl+100µl+100µl)</w:t>
            </w:r>
          </w:p>
        </w:tc>
        <w:tc>
          <w:tcPr>
            <w:tcW w:w="994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50nM</w:t>
            </w:r>
          </w:p>
        </w:tc>
        <w:tc>
          <w:tcPr>
            <w:tcW w:w="1842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2.5µl</w:t>
            </w:r>
          </w:p>
        </w:tc>
        <w:tc>
          <w:tcPr>
            <w:tcW w:w="1648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2µl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1mL (800µl+100µl+100µl)</w:t>
            </w:r>
          </w:p>
        </w:tc>
        <w:tc>
          <w:tcPr>
            <w:tcW w:w="994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30nM</w:t>
            </w:r>
          </w:p>
        </w:tc>
        <w:tc>
          <w:tcPr>
            <w:tcW w:w="1842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1.5µl</w:t>
            </w:r>
          </w:p>
        </w:tc>
        <w:tc>
          <w:tcPr>
            <w:tcW w:w="1648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2µl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1mL (800µl+100µl+100µl)</w:t>
            </w:r>
          </w:p>
        </w:tc>
        <w:tc>
          <w:tcPr>
            <w:tcW w:w="994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20nM</w:t>
            </w:r>
          </w:p>
        </w:tc>
        <w:tc>
          <w:tcPr>
            <w:tcW w:w="1842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1.0µl</w:t>
            </w:r>
          </w:p>
        </w:tc>
        <w:tc>
          <w:tcPr>
            <w:tcW w:w="1648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2µl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1mL (800µl+100µl+100µl)</w:t>
            </w:r>
          </w:p>
        </w:tc>
        <w:tc>
          <w:tcPr>
            <w:tcW w:w="994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10nM</w:t>
            </w:r>
          </w:p>
        </w:tc>
        <w:tc>
          <w:tcPr>
            <w:tcW w:w="1842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0.5µl</w:t>
            </w:r>
          </w:p>
        </w:tc>
        <w:tc>
          <w:tcPr>
            <w:tcW w:w="1648" w:type="dxa"/>
          </w:tcPr>
          <w:p>
            <w:pPr>
              <w:pStyle w:val="10"/>
              <w:ind w:left="106"/>
              <w:rPr>
                <w:sz w:val="18"/>
              </w:rPr>
            </w:pPr>
            <w:r>
              <w:rPr>
                <w:sz w:val="18"/>
              </w:rPr>
              <w:t>2µl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00" w:type="dxa"/>
            <w:vMerge w:val="restart"/>
          </w:tcPr>
          <w:p>
            <w:pPr>
              <w:pStyle w:val="10"/>
              <w:spacing w:before="0"/>
              <w:ind w:left="0"/>
              <w:rPr>
                <w:sz w:val="22"/>
              </w:rPr>
            </w:pPr>
          </w:p>
          <w:p>
            <w:pPr>
              <w:pStyle w:val="10"/>
              <w:spacing w:before="0"/>
              <w:ind w:left="0"/>
              <w:rPr>
                <w:sz w:val="22"/>
              </w:rPr>
            </w:pPr>
          </w:p>
          <w:p>
            <w:pPr>
              <w:pStyle w:val="10"/>
              <w:spacing w:before="160"/>
              <w:ind w:left="289"/>
              <w:rPr>
                <w:sz w:val="20"/>
              </w:rPr>
            </w:pPr>
            <w:r>
              <w:rPr>
                <w:sz w:val="20"/>
              </w:rPr>
              <w:t>6-well</w:t>
            </w:r>
          </w:p>
        </w:tc>
        <w:tc>
          <w:tcPr>
            <w:tcW w:w="2976" w:type="dxa"/>
            <w:shd w:val="clear" w:color="auto" w:fill="B6DDE8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2mL (1500µl+250µl+250µl)</w:t>
            </w:r>
          </w:p>
        </w:tc>
        <w:tc>
          <w:tcPr>
            <w:tcW w:w="994" w:type="dxa"/>
            <w:shd w:val="clear" w:color="auto" w:fill="B6DDE8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100nM</w:t>
            </w:r>
          </w:p>
        </w:tc>
        <w:tc>
          <w:tcPr>
            <w:tcW w:w="1842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10µl</w:t>
            </w:r>
          </w:p>
        </w:tc>
        <w:tc>
          <w:tcPr>
            <w:tcW w:w="1648" w:type="dxa"/>
            <w:shd w:val="clear" w:color="auto" w:fill="B6DDE8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2mL (1500µl+250µl+250µl)</w:t>
            </w:r>
          </w:p>
        </w:tc>
        <w:tc>
          <w:tcPr>
            <w:tcW w:w="994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50nM</w:t>
            </w:r>
          </w:p>
        </w:tc>
        <w:tc>
          <w:tcPr>
            <w:tcW w:w="1842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5µl</w:t>
            </w:r>
          </w:p>
        </w:tc>
        <w:tc>
          <w:tcPr>
            <w:tcW w:w="1648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2mL (1500µl+250µl+250µl)</w:t>
            </w:r>
          </w:p>
        </w:tc>
        <w:tc>
          <w:tcPr>
            <w:tcW w:w="994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30nM</w:t>
            </w:r>
          </w:p>
        </w:tc>
        <w:tc>
          <w:tcPr>
            <w:tcW w:w="1842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3µl</w:t>
            </w:r>
          </w:p>
        </w:tc>
        <w:tc>
          <w:tcPr>
            <w:tcW w:w="1648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2mL (1500µl+250µl+250µl)</w:t>
            </w:r>
          </w:p>
        </w:tc>
        <w:tc>
          <w:tcPr>
            <w:tcW w:w="994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20nM</w:t>
            </w:r>
          </w:p>
        </w:tc>
        <w:tc>
          <w:tcPr>
            <w:tcW w:w="1842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2µl</w:t>
            </w:r>
          </w:p>
        </w:tc>
        <w:tc>
          <w:tcPr>
            <w:tcW w:w="1648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5µl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2mL (1500µl+250µl+250µl)</w:t>
            </w:r>
          </w:p>
        </w:tc>
        <w:tc>
          <w:tcPr>
            <w:tcW w:w="994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10nM</w:t>
            </w:r>
          </w:p>
        </w:tc>
        <w:tc>
          <w:tcPr>
            <w:tcW w:w="1842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1µl</w:t>
            </w:r>
          </w:p>
        </w:tc>
        <w:tc>
          <w:tcPr>
            <w:tcW w:w="1648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5µl</w:t>
            </w:r>
          </w:p>
        </w:tc>
      </w:tr>
    </w:tbl>
    <w:p>
      <w:pPr>
        <w:spacing w:before="60"/>
        <w:ind w:left="1317" w:right="0" w:firstLine="0"/>
        <w:jc w:val="left"/>
        <w:rPr>
          <w:sz w:val="18"/>
        </w:rPr>
      </w:pPr>
      <w:r>
        <w:rPr>
          <w:sz w:val="18"/>
        </w:rPr>
        <w:t>注：表中数据仅供参考，对于部分细胞类型的转染试剂用量可进一步优化。</w:t>
      </w:r>
    </w:p>
    <w:p>
      <w:pPr>
        <w:pStyle w:val="3"/>
        <w:numPr>
          <w:ilvl w:val="0"/>
          <w:numId w:val="4"/>
        </w:numPr>
        <w:tabs>
          <w:tab w:val="left" w:pos="1138"/>
        </w:tabs>
        <w:spacing w:before="29" w:after="0" w:line="240" w:lineRule="auto"/>
        <w:ind w:left="1137" w:right="0" w:hanging="361"/>
        <w:jc w:val="left"/>
      </w:pPr>
      <w:r>
        <w:t>效果检测：</w:t>
      </w:r>
    </w:p>
    <w:p>
      <w:pPr>
        <w:pStyle w:val="5"/>
        <w:spacing w:before="38" w:line="280" w:lineRule="auto"/>
        <w:ind w:left="1197" w:right="104"/>
      </w:pPr>
      <w:r>
        <w:rPr>
          <w:spacing w:val="-9"/>
        </w:rPr>
        <w:t xml:space="preserve">转染完成后 </w:t>
      </w:r>
      <w:r>
        <w:rPr>
          <w:rFonts w:ascii="Arial" w:eastAsia="Arial"/>
        </w:rPr>
        <w:t xml:space="preserve">24~72 </w:t>
      </w:r>
      <w:r>
        <w:rPr>
          <w:spacing w:val="-8"/>
        </w:rPr>
        <w:t xml:space="preserve">小时均可进行 </w:t>
      </w:r>
      <w:r>
        <w:rPr>
          <w:rFonts w:ascii="Arial" w:eastAsia="Arial"/>
        </w:rPr>
        <w:t xml:space="preserve">siRNA </w:t>
      </w:r>
      <w:r>
        <w:rPr>
          <w:spacing w:val="-12"/>
        </w:rPr>
        <w:t xml:space="preserve">沉默效果检测，最佳检测时间与细胞类型，转染试剂，检测目的等相关。1） </w:t>
      </w:r>
      <w:r>
        <w:t>RNA</w:t>
      </w:r>
      <w:r>
        <w:rPr>
          <w:spacing w:val="-5"/>
        </w:rPr>
        <w:t xml:space="preserve"> 水平的检测：</w:t>
      </w:r>
      <w:r>
        <w:rPr>
          <w:rFonts w:ascii="Arial" w:eastAsia="Arial"/>
        </w:rPr>
        <w:t xml:space="preserve">mRNA </w:t>
      </w:r>
      <w:r>
        <w:rPr>
          <w:spacing w:val="-7"/>
        </w:rPr>
        <w:t xml:space="preserve">是检测 </w:t>
      </w:r>
      <w:r>
        <w:rPr>
          <w:rFonts w:ascii="Arial" w:eastAsia="Arial"/>
        </w:rPr>
        <w:t xml:space="preserve">siRNA </w:t>
      </w:r>
      <w:r>
        <w:t>沉默效率的最佳指标，</w:t>
      </w:r>
      <w:r>
        <w:rPr>
          <w:rFonts w:ascii="Arial" w:eastAsia="Arial"/>
        </w:rPr>
        <w:t xml:space="preserve">siRNA </w:t>
      </w:r>
      <w:r>
        <w:rPr>
          <w:spacing w:val="-7"/>
        </w:rPr>
        <w:t xml:space="preserve">转染后 </w:t>
      </w:r>
      <w:r>
        <w:rPr>
          <w:rFonts w:ascii="Arial" w:eastAsia="Arial"/>
        </w:rPr>
        <w:t xml:space="preserve">24~72 h </w:t>
      </w:r>
      <w:r>
        <w:t>即可检测到靶基因</w:t>
      </w:r>
    </w:p>
    <w:p>
      <w:pPr>
        <w:pStyle w:val="5"/>
        <w:spacing w:before="1" w:line="280" w:lineRule="auto"/>
        <w:ind w:left="1557" w:right="202"/>
      </w:pPr>
      <w:r>
        <w:rPr>
          <w:rFonts w:ascii="Arial" w:eastAsia="Arial"/>
        </w:rPr>
        <w:t xml:space="preserve">mRNA </w:t>
      </w:r>
      <w:r>
        <w:t xml:space="preserve">表达明显降低，检测方法宜采用 </w:t>
      </w:r>
      <w:r>
        <w:rPr>
          <w:rFonts w:ascii="Arial" w:eastAsia="Arial"/>
        </w:rPr>
        <w:t xml:space="preserve">qPCR </w:t>
      </w:r>
      <w:r>
        <w:t>检测方法。注：引物设计质量很重要，需要确保检测引物有效性。</w:t>
      </w:r>
    </w:p>
    <w:p>
      <w:pPr>
        <w:pStyle w:val="9"/>
        <w:numPr>
          <w:ilvl w:val="0"/>
          <w:numId w:val="5"/>
        </w:numPr>
        <w:tabs>
          <w:tab w:val="left" w:pos="1558"/>
        </w:tabs>
        <w:spacing w:before="0" w:after="0" w:line="280" w:lineRule="auto"/>
        <w:ind w:left="1557" w:right="201" w:hanging="361"/>
        <w:jc w:val="left"/>
        <w:rPr>
          <w:sz w:val="20"/>
        </w:rPr>
      </w:pPr>
      <w:r>
        <w:rPr>
          <w:spacing w:val="-7"/>
          <w:sz w:val="20"/>
        </w:rPr>
        <w:t xml:space="preserve">蛋白水平的检测：蛋白是 </w:t>
      </w:r>
      <w:r>
        <w:rPr>
          <w:rFonts w:ascii="Arial" w:eastAsia="Arial"/>
          <w:sz w:val="20"/>
        </w:rPr>
        <w:t>RNAi</w:t>
      </w:r>
      <w:r>
        <w:rPr>
          <w:rFonts w:ascii="Arial" w:eastAsia="Arial"/>
          <w:spacing w:val="-9"/>
          <w:sz w:val="20"/>
        </w:rPr>
        <w:t xml:space="preserve"> </w:t>
      </w:r>
      <w:r>
        <w:rPr>
          <w:sz w:val="20"/>
        </w:rPr>
        <w:t>沉默效率的重要指标，其检测手段主要为</w:t>
      </w:r>
      <w:r>
        <w:rPr>
          <w:rFonts w:ascii="Arial" w:eastAsia="Arial"/>
          <w:sz w:val="20"/>
        </w:rPr>
        <w:t>Western</w:t>
      </w:r>
      <w:r>
        <w:rPr>
          <w:rFonts w:ascii="Arial" w:eastAsia="Arial"/>
          <w:spacing w:val="-11"/>
          <w:sz w:val="20"/>
        </w:rPr>
        <w:t xml:space="preserve"> </w:t>
      </w:r>
      <w:r>
        <w:rPr>
          <w:rFonts w:ascii="Arial" w:eastAsia="Arial"/>
          <w:sz w:val="20"/>
        </w:rPr>
        <w:t>Blot</w:t>
      </w:r>
      <w:r>
        <w:rPr>
          <w:rFonts w:ascii="Arial" w:eastAsia="Arial"/>
          <w:spacing w:val="-9"/>
          <w:sz w:val="20"/>
        </w:rPr>
        <w:t xml:space="preserve"> </w:t>
      </w:r>
      <w:r>
        <w:rPr>
          <w:spacing w:val="-4"/>
          <w:sz w:val="20"/>
        </w:rPr>
        <w:t>等。检测时间受细胞</w:t>
      </w:r>
      <w:r>
        <w:rPr>
          <w:spacing w:val="-7"/>
          <w:sz w:val="20"/>
        </w:rPr>
        <w:t xml:space="preserve">内蛋白质表达量、半衰期等因素的影响，一般为 </w:t>
      </w:r>
      <w:r>
        <w:rPr>
          <w:rFonts w:ascii="Arial" w:eastAsia="Arial"/>
          <w:sz w:val="20"/>
        </w:rPr>
        <w:t>48~96</w:t>
      </w:r>
      <w:r>
        <w:rPr>
          <w:rFonts w:ascii="Arial" w:eastAsia="Arial"/>
          <w:spacing w:val="-2"/>
          <w:sz w:val="20"/>
        </w:rPr>
        <w:t xml:space="preserve"> </w:t>
      </w:r>
      <w:r>
        <w:rPr>
          <w:rFonts w:ascii="Arial" w:eastAsia="Arial"/>
          <w:sz w:val="20"/>
        </w:rPr>
        <w:t>h</w:t>
      </w:r>
      <w:r>
        <w:rPr>
          <w:sz w:val="20"/>
        </w:rPr>
        <w:t>。</w:t>
      </w:r>
    </w:p>
    <w:p>
      <w:pPr>
        <w:pStyle w:val="9"/>
        <w:numPr>
          <w:ilvl w:val="0"/>
          <w:numId w:val="5"/>
        </w:numPr>
        <w:tabs>
          <w:tab w:val="left" w:pos="1558"/>
        </w:tabs>
        <w:spacing w:before="0" w:after="0" w:line="262" w:lineRule="exact"/>
        <w:ind w:left="1557" w:right="0" w:hanging="361"/>
        <w:jc w:val="left"/>
        <w:rPr>
          <w:sz w:val="22"/>
        </w:rPr>
      </w:pPr>
      <w:r>
        <w:rPr>
          <w:spacing w:val="-7"/>
          <w:sz w:val="20"/>
        </w:rPr>
        <w:t xml:space="preserve">功能筛选：应用 </w:t>
      </w:r>
      <w:r>
        <w:rPr>
          <w:rFonts w:ascii="Arial" w:eastAsia="Arial"/>
          <w:sz w:val="20"/>
        </w:rPr>
        <w:t>EdU</w:t>
      </w:r>
      <w:r>
        <w:rPr>
          <w:rFonts w:ascii="Arial" w:eastAsia="Arial"/>
          <w:spacing w:val="44"/>
          <w:sz w:val="20"/>
        </w:rPr>
        <w:t xml:space="preserve"> </w:t>
      </w:r>
      <w:r>
        <w:rPr>
          <w:sz w:val="20"/>
        </w:rPr>
        <w:t>细胞增殖、</w:t>
      </w:r>
      <w:r>
        <w:rPr>
          <w:rFonts w:ascii="Arial" w:eastAsia="Arial"/>
          <w:sz w:val="20"/>
        </w:rPr>
        <w:t>EdUTP</w:t>
      </w:r>
      <w:r>
        <w:rPr>
          <w:rFonts w:ascii="Arial" w:eastAsia="Arial"/>
          <w:spacing w:val="-7"/>
          <w:sz w:val="20"/>
        </w:rPr>
        <w:t xml:space="preserve"> </w:t>
      </w:r>
      <w:r>
        <w:rPr>
          <w:sz w:val="20"/>
        </w:rPr>
        <w:t>细胞凋亡等方法进行细胞功能筛选。</w:t>
      </w:r>
    </w:p>
    <w:p>
      <w:pPr>
        <w:pStyle w:val="5"/>
        <w:spacing w:before="2"/>
      </w:pPr>
    </w:p>
    <w:p>
      <w:pPr>
        <w:pStyle w:val="2"/>
      </w:pPr>
      <w:r>
        <w:rPr>
          <w:color w:val="0070C0"/>
        </w:rPr>
        <w:t>动物实验：</w:t>
      </w:r>
    </w:p>
    <w:p>
      <w:pPr>
        <w:pStyle w:val="3"/>
        <w:spacing w:before="1"/>
        <w:ind w:left="777" w:firstLine="0"/>
      </w:pPr>
      <w:r>
        <w:rPr>
          <w:rFonts w:ascii="Arial" w:eastAsia="Arial"/>
          <w:color w:val="00B050"/>
        </w:rPr>
        <w:t xml:space="preserve"> </w:t>
      </w:r>
      <w:r>
        <w:rPr>
          <w:color w:val="00B050"/>
        </w:rPr>
        <w:t xml:space="preserve">提供动物实验用的各种修饰 </w:t>
      </w:r>
      <w:r>
        <w:rPr>
          <w:rFonts w:ascii="Arial" w:eastAsia="Arial"/>
          <w:color w:val="00B050"/>
        </w:rPr>
        <w:t xml:space="preserve">siRNA </w:t>
      </w:r>
      <w:r>
        <w:rPr>
          <w:color w:val="00B050"/>
        </w:rPr>
        <w:t xml:space="preserve">产品及脂质体包载 </w:t>
      </w:r>
      <w:r>
        <w:rPr>
          <w:rFonts w:ascii="Arial" w:eastAsia="Arial"/>
          <w:color w:val="00B050"/>
        </w:rPr>
        <w:t xml:space="preserve">RNA </w:t>
      </w:r>
      <w:r>
        <w:rPr>
          <w:color w:val="00B050"/>
        </w:rPr>
        <w:t>制剂服务。</w:t>
      </w:r>
    </w:p>
    <w:p>
      <w:pPr>
        <w:pStyle w:val="5"/>
        <w:spacing w:before="38" w:line="280" w:lineRule="auto"/>
        <w:ind w:left="1782" w:right="157" w:hanging="1005"/>
      </w:pPr>
      <w:r>
        <w:rPr>
          <w:b/>
        </w:rPr>
        <w:t>修饰方式：</w:t>
      </w:r>
      <w:r>
        <w:t xml:space="preserve">由于动物实验对 </w:t>
      </w:r>
      <w:r>
        <w:rPr>
          <w:rFonts w:ascii="Arial" w:eastAsia="Arial"/>
        </w:rPr>
        <w:t xml:space="preserve">siRNA </w:t>
      </w:r>
      <w:r>
        <w:t xml:space="preserve">稳定性的要求较高，尽管未修饰的 </w:t>
      </w:r>
      <w:r>
        <w:rPr>
          <w:rFonts w:ascii="Arial" w:eastAsia="Arial"/>
        </w:rPr>
        <w:t xml:space="preserve">siRNA </w:t>
      </w:r>
      <w:r>
        <w:t xml:space="preserve">也可以进行动物实验，但是以 </w:t>
      </w:r>
      <w:r>
        <w:rPr>
          <w:rFonts w:ascii="Arial" w:eastAsia="Arial"/>
        </w:rPr>
        <w:t>Chol</w:t>
      </w:r>
      <w:r>
        <w:t xml:space="preserve">， </w:t>
      </w:r>
      <w:r>
        <w:rPr>
          <w:rFonts w:ascii="Arial" w:eastAsia="Arial"/>
        </w:rPr>
        <w:t>OMe</w:t>
      </w:r>
      <w:r>
        <w:t>，</w:t>
      </w:r>
      <w:r>
        <w:rPr>
          <w:rFonts w:ascii="Arial" w:eastAsia="Arial"/>
        </w:rPr>
        <w:t xml:space="preserve">PS </w:t>
      </w:r>
      <w:r>
        <w:t xml:space="preserve">修饰的 </w:t>
      </w:r>
      <w:r>
        <w:rPr>
          <w:rFonts w:ascii="Arial" w:eastAsia="Arial"/>
        </w:rPr>
        <w:t xml:space="preserve">siRNA </w:t>
      </w:r>
      <w:r>
        <w:t>效果较好。</w:t>
      </w:r>
    </w:p>
    <w:p>
      <w:pPr>
        <w:pStyle w:val="5"/>
        <w:spacing w:before="1" w:line="280" w:lineRule="auto"/>
        <w:ind w:left="1881" w:right="200" w:hanging="1104"/>
      </w:pPr>
      <w:r>
        <w:rPr>
          <w:b/>
          <w:spacing w:val="-3"/>
        </w:rPr>
        <w:t>给药方式：</w:t>
      </w:r>
      <w:r>
        <w:rPr>
          <w:spacing w:val="-4"/>
        </w:rPr>
        <w:t>局部给药：最直接的导入方式，</w:t>
      </w:r>
      <w:r>
        <w:rPr>
          <w:rFonts w:ascii="Arial" w:eastAsia="Arial"/>
          <w:spacing w:val="-3"/>
        </w:rPr>
        <w:t xml:space="preserve">siRNA </w:t>
      </w:r>
      <w:r>
        <w:rPr>
          <w:spacing w:val="-4"/>
        </w:rPr>
        <w:t>的导入效率较高，用量少，</w:t>
      </w:r>
      <w:r>
        <w:rPr>
          <w:rFonts w:ascii="Arial" w:eastAsia="Arial"/>
          <w:spacing w:val="-4"/>
        </w:rPr>
        <w:t xml:space="preserve">siRNA </w:t>
      </w:r>
      <w:r>
        <w:rPr>
          <w:spacing w:val="-3"/>
        </w:rPr>
        <w:t>能很快被吸收。适用于浅表器官和组织，包括眼、肌肉、皮下组织等。</w:t>
      </w:r>
    </w:p>
    <w:p>
      <w:pPr>
        <w:pStyle w:val="5"/>
        <w:spacing w:line="280" w:lineRule="auto"/>
        <w:ind w:left="1881" w:right="200" w:hanging="1104"/>
      </w:pPr>
      <w:r>
        <w:rPr>
          <w:b/>
          <w:spacing w:val="-3"/>
        </w:rPr>
        <w:t>系统给药：</w:t>
      </w:r>
      <w:r>
        <w:rPr>
          <w:spacing w:val="-4"/>
        </w:rPr>
        <w:t>一些无法通过局部给药方式到达的靶位，如内脏，器官以及一些散列分布的靶位</w:t>
      </w:r>
      <w:r>
        <w:t>（</w:t>
      </w:r>
      <w:r>
        <w:rPr>
          <w:spacing w:val="-3"/>
        </w:rPr>
        <w:t>如淋巴细胞，转移性肿</w:t>
      </w:r>
      <w:r>
        <w:rPr>
          <w:spacing w:val="-3"/>
          <w:w w:val="100"/>
        </w:rPr>
        <w:t>瘤细胞等</w:t>
      </w:r>
      <w:r>
        <w:rPr>
          <w:spacing w:val="-100"/>
          <w:w w:val="100"/>
        </w:rPr>
        <w:t>）</w:t>
      </w:r>
      <w:r>
        <w:rPr>
          <w:spacing w:val="-2"/>
          <w:w w:val="100"/>
        </w:rPr>
        <w:t>，可使用系统性注射方式，具有广泛的组织分布，包括心、肝、脾、肺、肾等。</w:t>
      </w:r>
    </w:p>
    <w:sectPr>
      <w:pgSz w:w="11910" w:h="16840"/>
      <w:pgMar w:top="1000" w:right="360" w:bottom="1300" w:left="420" w:header="215" w:footer="110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</w:pPr>
    <w:r>
      <w:pict>
        <v:shape id="_x0000_s2050" o:spid="_x0000_s2050" o:spt="202" type="#_x0000_t202" style="position:absolute;left:0pt;margin-left:461.8pt;margin-top:775.75pt;height:33pt;width:74.7pt;mso-position-horizontal-relative:page;mso-position-vertical-relative:page;z-index:-2521374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/>
                  <w:ind w:left="20" w:right="18" w:firstLine="253"/>
                  <w:jc w:val="right"/>
                  <w:rPr>
                    <w:rFonts w:ascii="Calibri"/>
                    <w:sz w:val="1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</w:pPr>
    <w:r>
      <w:pict>
        <v:shape id="_x0000_s2049" o:spid="_x0000_s2049" o:spt="202" type="#_x0000_t202" style="position:absolute;left:0pt;margin-left:417.4pt;margin-top:22.85pt;height:27.9pt;width:148.9pt;mso-position-horizontal-relative:page;mso-position-vertical-relative:page;z-index:-2521384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）"/>
      <w:lvlJc w:val="left"/>
      <w:pPr>
        <w:ind w:left="1137" w:hanging="360"/>
        <w:jc w:val="left"/>
      </w:pPr>
      <w:rPr>
        <w:rFonts w:hint="default" w:ascii="黑体" w:hAnsi="黑体" w:eastAsia="黑体" w:cs="黑体"/>
        <w:b/>
        <w:bCs/>
        <w:spacing w:val="0"/>
        <w:w w:val="99"/>
        <w:sz w:val="22"/>
        <w:szCs w:val="22"/>
        <w:lang w:val="ca-ES" w:eastAsia="ca-ES" w:bidi="ca-ES"/>
      </w:rPr>
    </w:lvl>
    <w:lvl w:ilvl="1" w:tentative="0">
      <w:start w:val="1"/>
      <w:numFmt w:val="upperLetter"/>
      <w:lvlText w:val="%2."/>
      <w:lvlJc w:val="left"/>
      <w:pPr>
        <w:ind w:left="1407" w:hanging="270"/>
        <w:jc w:val="left"/>
      </w:pPr>
      <w:rPr>
        <w:rFonts w:hint="default" w:ascii="黑体" w:hAnsi="黑体" w:eastAsia="黑体" w:cs="黑体"/>
        <w:w w:val="100"/>
        <w:sz w:val="20"/>
        <w:szCs w:val="20"/>
        <w:lang w:val="ca-ES" w:eastAsia="ca-ES" w:bidi="ca-ES"/>
      </w:rPr>
    </w:lvl>
    <w:lvl w:ilvl="2" w:tentative="0">
      <w:start w:val="0"/>
      <w:numFmt w:val="bullet"/>
      <w:lvlText w:val="•"/>
      <w:lvlJc w:val="left"/>
      <w:pPr>
        <w:ind w:left="2480" w:hanging="270"/>
      </w:pPr>
      <w:rPr>
        <w:rFonts w:hint="default"/>
        <w:lang w:val="ca-ES" w:eastAsia="ca-ES" w:bidi="ca-ES"/>
      </w:rPr>
    </w:lvl>
    <w:lvl w:ilvl="3" w:tentative="0">
      <w:start w:val="0"/>
      <w:numFmt w:val="bullet"/>
      <w:lvlText w:val="•"/>
      <w:lvlJc w:val="left"/>
      <w:pPr>
        <w:ind w:left="3560" w:hanging="270"/>
      </w:pPr>
      <w:rPr>
        <w:rFonts w:hint="default"/>
        <w:lang w:val="ca-ES" w:eastAsia="ca-ES" w:bidi="ca-ES"/>
      </w:rPr>
    </w:lvl>
    <w:lvl w:ilvl="4" w:tentative="0">
      <w:start w:val="0"/>
      <w:numFmt w:val="bullet"/>
      <w:lvlText w:val="•"/>
      <w:lvlJc w:val="left"/>
      <w:pPr>
        <w:ind w:left="4641" w:hanging="270"/>
      </w:pPr>
      <w:rPr>
        <w:rFonts w:hint="default"/>
        <w:lang w:val="ca-ES" w:eastAsia="ca-ES" w:bidi="ca-ES"/>
      </w:rPr>
    </w:lvl>
    <w:lvl w:ilvl="5" w:tentative="0">
      <w:start w:val="0"/>
      <w:numFmt w:val="bullet"/>
      <w:lvlText w:val="•"/>
      <w:lvlJc w:val="left"/>
      <w:pPr>
        <w:ind w:left="5721" w:hanging="270"/>
      </w:pPr>
      <w:rPr>
        <w:rFonts w:hint="default"/>
        <w:lang w:val="ca-ES" w:eastAsia="ca-ES" w:bidi="ca-ES"/>
      </w:rPr>
    </w:lvl>
    <w:lvl w:ilvl="6" w:tentative="0">
      <w:start w:val="0"/>
      <w:numFmt w:val="bullet"/>
      <w:lvlText w:val="•"/>
      <w:lvlJc w:val="left"/>
      <w:pPr>
        <w:ind w:left="6802" w:hanging="270"/>
      </w:pPr>
      <w:rPr>
        <w:rFonts w:hint="default"/>
        <w:lang w:val="ca-ES" w:eastAsia="ca-ES" w:bidi="ca-ES"/>
      </w:rPr>
    </w:lvl>
    <w:lvl w:ilvl="7" w:tentative="0">
      <w:start w:val="0"/>
      <w:numFmt w:val="bullet"/>
      <w:lvlText w:val="•"/>
      <w:lvlJc w:val="left"/>
      <w:pPr>
        <w:ind w:left="7882" w:hanging="270"/>
      </w:pPr>
      <w:rPr>
        <w:rFonts w:hint="default"/>
        <w:lang w:val="ca-ES" w:eastAsia="ca-ES" w:bidi="ca-ES"/>
      </w:rPr>
    </w:lvl>
    <w:lvl w:ilvl="8" w:tentative="0">
      <w:start w:val="0"/>
      <w:numFmt w:val="bullet"/>
      <w:lvlText w:val="•"/>
      <w:lvlJc w:val="left"/>
      <w:pPr>
        <w:ind w:left="8963" w:hanging="270"/>
      </w:pPr>
      <w:rPr>
        <w:rFonts w:hint="default"/>
        <w:lang w:val="ca-ES" w:eastAsia="ca-ES" w:bidi="ca-ES"/>
      </w:rPr>
    </w:lvl>
  </w:abstractNum>
  <w:abstractNum w:abstractNumId="1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717" w:hanging="360"/>
        <w:jc w:val="left"/>
      </w:pPr>
      <w:rPr>
        <w:rFonts w:hint="default" w:ascii="黑体" w:hAnsi="黑体" w:eastAsia="黑体" w:cs="黑体"/>
        <w:b/>
        <w:bCs/>
        <w:w w:val="99"/>
        <w:sz w:val="21"/>
        <w:szCs w:val="21"/>
        <w:lang w:val="ca-ES" w:eastAsia="ca-ES" w:bidi="ca-ES"/>
      </w:rPr>
    </w:lvl>
    <w:lvl w:ilvl="1" w:tentative="0">
      <w:start w:val="1"/>
      <w:numFmt w:val="decimal"/>
      <w:lvlText w:val="%2)"/>
      <w:lvlJc w:val="left"/>
      <w:pPr>
        <w:ind w:left="987" w:hanging="421"/>
        <w:jc w:val="left"/>
      </w:pPr>
      <w:rPr>
        <w:rFonts w:hint="default" w:ascii="黑体" w:hAnsi="黑体" w:eastAsia="黑体" w:cs="黑体"/>
        <w:w w:val="100"/>
        <w:sz w:val="20"/>
        <w:szCs w:val="20"/>
        <w:lang w:val="ca-ES" w:eastAsia="ca-ES" w:bidi="ca-ES"/>
      </w:rPr>
    </w:lvl>
    <w:lvl w:ilvl="2" w:tentative="0">
      <w:start w:val="0"/>
      <w:numFmt w:val="bullet"/>
      <w:lvlText w:val="•"/>
      <w:lvlJc w:val="left"/>
      <w:pPr>
        <w:ind w:left="2107" w:hanging="421"/>
      </w:pPr>
      <w:rPr>
        <w:rFonts w:hint="default"/>
        <w:lang w:val="ca-ES" w:eastAsia="ca-ES" w:bidi="ca-ES"/>
      </w:rPr>
    </w:lvl>
    <w:lvl w:ilvl="3" w:tentative="0">
      <w:start w:val="0"/>
      <w:numFmt w:val="bullet"/>
      <w:lvlText w:val="•"/>
      <w:lvlJc w:val="left"/>
      <w:pPr>
        <w:ind w:left="3234" w:hanging="421"/>
      </w:pPr>
      <w:rPr>
        <w:rFonts w:hint="default"/>
        <w:lang w:val="ca-ES" w:eastAsia="ca-ES" w:bidi="ca-ES"/>
      </w:rPr>
    </w:lvl>
    <w:lvl w:ilvl="4" w:tentative="0">
      <w:start w:val="0"/>
      <w:numFmt w:val="bullet"/>
      <w:lvlText w:val="•"/>
      <w:lvlJc w:val="left"/>
      <w:pPr>
        <w:ind w:left="4361" w:hanging="421"/>
      </w:pPr>
      <w:rPr>
        <w:rFonts w:hint="default"/>
        <w:lang w:val="ca-ES" w:eastAsia="ca-ES" w:bidi="ca-ES"/>
      </w:rPr>
    </w:lvl>
    <w:lvl w:ilvl="5" w:tentative="0">
      <w:start w:val="0"/>
      <w:numFmt w:val="bullet"/>
      <w:lvlText w:val="•"/>
      <w:lvlJc w:val="left"/>
      <w:pPr>
        <w:ind w:left="5488" w:hanging="421"/>
      </w:pPr>
      <w:rPr>
        <w:rFonts w:hint="default"/>
        <w:lang w:val="ca-ES" w:eastAsia="ca-ES" w:bidi="ca-ES"/>
      </w:rPr>
    </w:lvl>
    <w:lvl w:ilvl="6" w:tentative="0">
      <w:start w:val="0"/>
      <w:numFmt w:val="bullet"/>
      <w:lvlText w:val="•"/>
      <w:lvlJc w:val="left"/>
      <w:pPr>
        <w:ind w:left="6615" w:hanging="421"/>
      </w:pPr>
      <w:rPr>
        <w:rFonts w:hint="default"/>
        <w:lang w:val="ca-ES" w:eastAsia="ca-ES" w:bidi="ca-ES"/>
      </w:rPr>
    </w:lvl>
    <w:lvl w:ilvl="7" w:tentative="0">
      <w:start w:val="0"/>
      <w:numFmt w:val="bullet"/>
      <w:lvlText w:val="•"/>
      <w:lvlJc w:val="left"/>
      <w:pPr>
        <w:ind w:left="7742" w:hanging="421"/>
      </w:pPr>
      <w:rPr>
        <w:rFonts w:hint="default"/>
        <w:lang w:val="ca-ES" w:eastAsia="ca-ES" w:bidi="ca-ES"/>
      </w:rPr>
    </w:lvl>
    <w:lvl w:ilvl="8" w:tentative="0">
      <w:start w:val="0"/>
      <w:numFmt w:val="bullet"/>
      <w:lvlText w:val="•"/>
      <w:lvlJc w:val="left"/>
      <w:pPr>
        <w:ind w:left="8870" w:hanging="421"/>
      </w:pPr>
      <w:rPr>
        <w:rFonts w:hint="default"/>
        <w:lang w:val="ca-ES" w:eastAsia="ca-ES" w:bidi="ca-ES"/>
      </w:rPr>
    </w:lvl>
  </w:abstractNum>
  <w:abstractNum w:abstractNumId="2">
    <w:nsid w:val="25B654F3"/>
    <w:multiLevelType w:val="multilevel"/>
    <w:tmpl w:val="25B654F3"/>
    <w:lvl w:ilvl="0" w:tentative="0">
      <w:start w:val="1"/>
      <w:numFmt w:val="decimal"/>
      <w:lvlText w:val="%1）"/>
      <w:lvlJc w:val="left"/>
      <w:pPr>
        <w:ind w:left="927" w:hanging="361"/>
        <w:jc w:val="left"/>
      </w:pPr>
      <w:rPr>
        <w:rFonts w:hint="default" w:ascii="黑体" w:hAnsi="黑体" w:eastAsia="黑体" w:cs="黑体"/>
        <w:w w:val="100"/>
        <w:sz w:val="20"/>
        <w:szCs w:val="20"/>
        <w:lang w:val="ca-ES" w:eastAsia="ca-ES" w:bidi="ca-ES"/>
      </w:rPr>
    </w:lvl>
    <w:lvl w:ilvl="1" w:tentative="0">
      <w:start w:val="0"/>
      <w:numFmt w:val="bullet"/>
      <w:lvlText w:val="•"/>
      <w:lvlJc w:val="left"/>
      <w:pPr>
        <w:ind w:left="1940" w:hanging="361"/>
      </w:pPr>
      <w:rPr>
        <w:rFonts w:hint="default"/>
        <w:lang w:val="ca-ES" w:eastAsia="ca-ES" w:bidi="ca-ES"/>
      </w:rPr>
    </w:lvl>
    <w:lvl w:ilvl="2" w:tentative="0">
      <w:start w:val="0"/>
      <w:numFmt w:val="bullet"/>
      <w:lvlText w:val="•"/>
      <w:lvlJc w:val="left"/>
      <w:pPr>
        <w:ind w:left="2960" w:hanging="361"/>
      </w:pPr>
      <w:rPr>
        <w:rFonts w:hint="default"/>
        <w:lang w:val="ca-ES" w:eastAsia="ca-ES" w:bidi="ca-ES"/>
      </w:rPr>
    </w:lvl>
    <w:lvl w:ilvl="3" w:tentative="0">
      <w:start w:val="0"/>
      <w:numFmt w:val="bullet"/>
      <w:lvlText w:val="•"/>
      <w:lvlJc w:val="left"/>
      <w:pPr>
        <w:ind w:left="3981" w:hanging="361"/>
      </w:pPr>
      <w:rPr>
        <w:rFonts w:hint="default"/>
        <w:lang w:val="ca-ES" w:eastAsia="ca-ES" w:bidi="ca-ES"/>
      </w:rPr>
    </w:lvl>
    <w:lvl w:ilvl="4" w:tentative="0">
      <w:start w:val="0"/>
      <w:numFmt w:val="bullet"/>
      <w:lvlText w:val="•"/>
      <w:lvlJc w:val="left"/>
      <w:pPr>
        <w:ind w:left="5001" w:hanging="361"/>
      </w:pPr>
      <w:rPr>
        <w:rFonts w:hint="default"/>
        <w:lang w:val="ca-ES" w:eastAsia="ca-ES" w:bidi="ca-ES"/>
      </w:rPr>
    </w:lvl>
    <w:lvl w:ilvl="5" w:tentative="0">
      <w:start w:val="0"/>
      <w:numFmt w:val="bullet"/>
      <w:lvlText w:val="•"/>
      <w:lvlJc w:val="left"/>
      <w:pPr>
        <w:ind w:left="6022" w:hanging="361"/>
      </w:pPr>
      <w:rPr>
        <w:rFonts w:hint="default"/>
        <w:lang w:val="ca-ES" w:eastAsia="ca-ES" w:bidi="ca-ES"/>
      </w:rPr>
    </w:lvl>
    <w:lvl w:ilvl="6" w:tentative="0">
      <w:start w:val="0"/>
      <w:numFmt w:val="bullet"/>
      <w:lvlText w:val="•"/>
      <w:lvlJc w:val="left"/>
      <w:pPr>
        <w:ind w:left="7042" w:hanging="361"/>
      </w:pPr>
      <w:rPr>
        <w:rFonts w:hint="default"/>
        <w:lang w:val="ca-ES" w:eastAsia="ca-ES" w:bidi="ca-ES"/>
      </w:rPr>
    </w:lvl>
    <w:lvl w:ilvl="7" w:tentative="0">
      <w:start w:val="0"/>
      <w:numFmt w:val="bullet"/>
      <w:lvlText w:val="•"/>
      <w:lvlJc w:val="left"/>
      <w:pPr>
        <w:ind w:left="8063" w:hanging="361"/>
      </w:pPr>
      <w:rPr>
        <w:rFonts w:hint="default"/>
        <w:lang w:val="ca-ES" w:eastAsia="ca-ES" w:bidi="ca-ES"/>
      </w:rPr>
    </w:lvl>
    <w:lvl w:ilvl="8" w:tentative="0">
      <w:start w:val="0"/>
      <w:numFmt w:val="bullet"/>
      <w:lvlText w:val="•"/>
      <w:lvlJc w:val="left"/>
      <w:pPr>
        <w:ind w:left="9083" w:hanging="361"/>
      </w:pPr>
      <w:rPr>
        <w:rFonts w:hint="default"/>
        <w:lang w:val="ca-ES" w:eastAsia="ca-ES" w:bidi="ca-ES"/>
      </w:rPr>
    </w:lvl>
  </w:abstractNum>
  <w:abstractNum w:abstractNumId="3">
    <w:nsid w:val="2A8F537B"/>
    <w:multiLevelType w:val="multilevel"/>
    <w:tmpl w:val="2A8F537B"/>
    <w:lvl w:ilvl="0" w:tentative="0">
      <w:start w:val="2"/>
      <w:numFmt w:val="decimal"/>
      <w:lvlText w:val="%1）"/>
      <w:lvlJc w:val="left"/>
      <w:pPr>
        <w:ind w:left="1557" w:hanging="360"/>
        <w:jc w:val="left"/>
      </w:pPr>
      <w:rPr>
        <w:rFonts w:hint="default"/>
        <w:w w:val="100"/>
        <w:lang w:val="ca-ES" w:eastAsia="ca-ES" w:bidi="ca-ES"/>
      </w:rPr>
    </w:lvl>
    <w:lvl w:ilvl="1" w:tentative="0">
      <w:start w:val="0"/>
      <w:numFmt w:val="bullet"/>
      <w:lvlText w:val="•"/>
      <w:lvlJc w:val="left"/>
      <w:pPr>
        <w:ind w:left="2516" w:hanging="360"/>
      </w:pPr>
      <w:rPr>
        <w:rFonts w:hint="default"/>
        <w:lang w:val="ca-ES" w:eastAsia="ca-ES" w:bidi="ca-ES"/>
      </w:rPr>
    </w:lvl>
    <w:lvl w:ilvl="2" w:tentative="0">
      <w:start w:val="0"/>
      <w:numFmt w:val="bullet"/>
      <w:lvlText w:val="•"/>
      <w:lvlJc w:val="left"/>
      <w:pPr>
        <w:ind w:left="3472" w:hanging="360"/>
      </w:pPr>
      <w:rPr>
        <w:rFonts w:hint="default"/>
        <w:lang w:val="ca-ES" w:eastAsia="ca-ES" w:bidi="ca-ES"/>
      </w:rPr>
    </w:lvl>
    <w:lvl w:ilvl="3" w:tentative="0">
      <w:start w:val="0"/>
      <w:numFmt w:val="bullet"/>
      <w:lvlText w:val="•"/>
      <w:lvlJc w:val="left"/>
      <w:pPr>
        <w:ind w:left="4429" w:hanging="360"/>
      </w:pPr>
      <w:rPr>
        <w:rFonts w:hint="default"/>
        <w:lang w:val="ca-ES" w:eastAsia="ca-ES" w:bidi="ca-ES"/>
      </w:rPr>
    </w:lvl>
    <w:lvl w:ilvl="4" w:tentative="0">
      <w:start w:val="0"/>
      <w:numFmt w:val="bullet"/>
      <w:lvlText w:val="•"/>
      <w:lvlJc w:val="left"/>
      <w:pPr>
        <w:ind w:left="5385" w:hanging="360"/>
      </w:pPr>
      <w:rPr>
        <w:rFonts w:hint="default"/>
        <w:lang w:val="ca-ES" w:eastAsia="ca-ES" w:bidi="ca-ES"/>
      </w:rPr>
    </w:lvl>
    <w:lvl w:ilvl="5" w:tentative="0">
      <w:start w:val="0"/>
      <w:numFmt w:val="bullet"/>
      <w:lvlText w:val="•"/>
      <w:lvlJc w:val="left"/>
      <w:pPr>
        <w:ind w:left="6342" w:hanging="360"/>
      </w:pPr>
      <w:rPr>
        <w:rFonts w:hint="default"/>
        <w:lang w:val="ca-ES" w:eastAsia="ca-ES" w:bidi="ca-ES"/>
      </w:rPr>
    </w:lvl>
    <w:lvl w:ilvl="6" w:tentative="0">
      <w:start w:val="0"/>
      <w:numFmt w:val="bullet"/>
      <w:lvlText w:val="•"/>
      <w:lvlJc w:val="left"/>
      <w:pPr>
        <w:ind w:left="7298" w:hanging="360"/>
      </w:pPr>
      <w:rPr>
        <w:rFonts w:hint="default"/>
        <w:lang w:val="ca-ES" w:eastAsia="ca-ES" w:bidi="ca-ES"/>
      </w:rPr>
    </w:lvl>
    <w:lvl w:ilvl="7" w:tentative="0">
      <w:start w:val="0"/>
      <w:numFmt w:val="bullet"/>
      <w:lvlText w:val="•"/>
      <w:lvlJc w:val="left"/>
      <w:pPr>
        <w:ind w:left="8255" w:hanging="360"/>
      </w:pPr>
      <w:rPr>
        <w:rFonts w:hint="default"/>
        <w:lang w:val="ca-ES" w:eastAsia="ca-ES" w:bidi="ca-ES"/>
      </w:rPr>
    </w:lvl>
    <w:lvl w:ilvl="8" w:tentative="0">
      <w:start w:val="0"/>
      <w:numFmt w:val="bullet"/>
      <w:lvlText w:val="•"/>
      <w:lvlJc w:val="left"/>
      <w:pPr>
        <w:ind w:left="9211" w:hanging="360"/>
      </w:pPr>
      <w:rPr>
        <w:rFonts w:hint="default"/>
        <w:lang w:val="ca-ES" w:eastAsia="ca-ES" w:bidi="ca-ES"/>
      </w:rPr>
    </w:lvl>
  </w:abstractNum>
  <w:abstractNum w:abstractNumId="4">
    <w:nsid w:val="72183CF9"/>
    <w:multiLevelType w:val="multilevel"/>
    <w:tmpl w:val="72183CF9"/>
    <w:lvl w:ilvl="0" w:tentative="0">
      <w:start w:val="1"/>
      <w:numFmt w:val="decimal"/>
      <w:lvlText w:val="%1)"/>
      <w:lvlJc w:val="left"/>
      <w:pPr>
        <w:ind w:left="927" w:hanging="360"/>
        <w:jc w:val="left"/>
      </w:pPr>
      <w:rPr>
        <w:rFonts w:hint="default" w:ascii="黑体" w:hAnsi="黑体" w:eastAsia="黑体" w:cs="黑体"/>
        <w:w w:val="100"/>
        <w:sz w:val="20"/>
        <w:szCs w:val="20"/>
        <w:lang w:val="ca-ES" w:eastAsia="ca-ES" w:bidi="ca-ES"/>
      </w:rPr>
    </w:lvl>
    <w:lvl w:ilvl="1" w:tentative="0">
      <w:start w:val="0"/>
      <w:numFmt w:val="bullet"/>
      <w:lvlText w:val="•"/>
      <w:lvlJc w:val="left"/>
      <w:pPr>
        <w:ind w:left="1940" w:hanging="360"/>
      </w:pPr>
      <w:rPr>
        <w:rFonts w:hint="default"/>
        <w:lang w:val="ca-ES" w:eastAsia="ca-ES" w:bidi="ca-ES"/>
      </w:rPr>
    </w:lvl>
    <w:lvl w:ilvl="2" w:tentative="0">
      <w:start w:val="0"/>
      <w:numFmt w:val="bullet"/>
      <w:lvlText w:val="•"/>
      <w:lvlJc w:val="left"/>
      <w:pPr>
        <w:ind w:left="2960" w:hanging="360"/>
      </w:pPr>
      <w:rPr>
        <w:rFonts w:hint="default"/>
        <w:lang w:val="ca-ES" w:eastAsia="ca-ES" w:bidi="ca-ES"/>
      </w:rPr>
    </w:lvl>
    <w:lvl w:ilvl="3" w:tentative="0">
      <w:start w:val="0"/>
      <w:numFmt w:val="bullet"/>
      <w:lvlText w:val="•"/>
      <w:lvlJc w:val="left"/>
      <w:pPr>
        <w:ind w:left="3981" w:hanging="360"/>
      </w:pPr>
      <w:rPr>
        <w:rFonts w:hint="default"/>
        <w:lang w:val="ca-ES" w:eastAsia="ca-ES" w:bidi="ca-ES"/>
      </w:rPr>
    </w:lvl>
    <w:lvl w:ilvl="4" w:tentative="0">
      <w:start w:val="0"/>
      <w:numFmt w:val="bullet"/>
      <w:lvlText w:val="•"/>
      <w:lvlJc w:val="left"/>
      <w:pPr>
        <w:ind w:left="5001" w:hanging="360"/>
      </w:pPr>
      <w:rPr>
        <w:rFonts w:hint="default"/>
        <w:lang w:val="ca-ES" w:eastAsia="ca-ES" w:bidi="ca-ES"/>
      </w:rPr>
    </w:lvl>
    <w:lvl w:ilvl="5" w:tentative="0">
      <w:start w:val="0"/>
      <w:numFmt w:val="bullet"/>
      <w:lvlText w:val="•"/>
      <w:lvlJc w:val="left"/>
      <w:pPr>
        <w:ind w:left="6022" w:hanging="360"/>
      </w:pPr>
      <w:rPr>
        <w:rFonts w:hint="default"/>
        <w:lang w:val="ca-ES" w:eastAsia="ca-ES" w:bidi="ca-ES"/>
      </w:rPr>
    </w:lvl>
    <w:lvl w:ilvl="6" w:tentative="0">
      <w:start w:val="0"/>
      <w:numFmt w:val="bullet"/>
      <w:lvlText w:val="•"/>
      <w:lvlJc w:val="left"/>
      <w:pPr>
        <w:ind w:left="7042" w:hanging="360"/>
      </w:pPr>
      <w:rPr>
        <w:rFonts w:hint="default"/>
        <w:lang w:val="ca-ES" w:eastAsia="ca-ES" w:bidi="ca-ES"/>
      </w:rPr>
    </w:lvl>
    <w:lvl w:ilvl="7" w:tentative="0">
      <w:start w:val="0"/>
      <w:numFmt w:val="bullet"/>
      <w:lvlText w:val="•"/>
      <w:lvlJc w:val="left"/>
      <w:pPr>
        <w:ind w:left="8063" w:hanging="360"/>
      </w:pPr>
      <w:rPr>
        <w:rFonts w:hint="default"/>
        <w:lang w:val="ca-ES" w:eastAsia="ca-ES" w:bidi="ca-ES"/>
      </w:rPr>
    </w:lvl>
    <w:lvl w:ilvl="8" w:tentative="0">
      <w:start w:val="0"/>
      <w:numFmt w:val="bullet"/>
      <w:lvlText w:val="•"/>
      <w:lvlJc w:val="left"/>
      <w:pPr>
        <w:ind w:left="9083" w:hanging="360"/>
      </w:pPr>
      <w:rPr>
        <w:rFonts w:hint="default"/>
        <w:lang w:val="ca-ES" w:eastAsia="ca-ES" w:bidi="ca-E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6795A25"/>
    <w:rsid w:val="42444942"/>
    <w:rsid w:val="57393BEF"/>
    <w:rsid w:val="5D410918"/>
    <w:rsid w:val="73F15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ca-ES" w:eastAsia="ca-ES" w:bidi="ca-ES"/>
    </w:rPr>
  </w:style>
  <w:style w:type="paragraph" w:styleId="2">
    <w:name w:val="heading 1"/>
    <w:basedOn w:val="1"/>
    <w:next w:val="1"/>
    <w:qFormat/>
    <w:uiPriority w:val="1"/>
    <w:pPr>
      <w:ind w:left="147"/>
      <w:outlineLvl w:val="1"/>
    </w:pPr>
    <w:rPr>
      <w:rFonts w:ascii="黑体" w:hAnsi="黑体" w:eastAsia="黑体" w:cs="黑体"/>
      <w:b/>
      <w:bCs/>
      <w:sz w:val="28"/>
      <w:szCs w:val="28"/>
      <w:lang w:val="ca-ES" w:eastAsia="ca-ES" w:bidi="ca-ES"/>
    </w:rPr>
  </w:style>
  <w:style w:type="paragraph" w:styleId="3">
    <w:name w:val="heading 2"/>
    <w:basedOn w:val="1"/>
    <w:next w:val="1"/>
    <w:qFormat/>
    <w:uiPriority w:val="1"/>
    <w:pPr>
      <w:ind w:left="1137" w:hanging="361"/>
      <w:outlineLvl w:val="2"/>
    </w:pPr>
    <w:rPr>
      <w:rFonts w:ascii="黑体" w:hAnsi="黑体" w:eastAsia="黑体" w:cs="黑体"/>
      <w:b/>
      <w:bCs/>
      <w:sz w:val="22"/>
      <w:szCs w:val="22"/>
      <w:lang w:val="ca-ES" w:eastAsia="ca-ES" w:bidi="ca-ES"/>
    </w:rPr>
  </w:style>
  <w:style w:type="paragraph" w:styleId="4">
    <w:name w:val="heading 3"/>
    <w:basedOn w:val="1"/>
    <w:next w:val="1"/>
    <w:qFormat/>
    <w:uiPriority w:val="1"/>
    <w:pPr>
      <w:ind w:left="147" w:hanging="361"/>
      <w:jc w:val="both"/>
      <w:outlineLvl w:val="3"/>
    </w:pPr>
    <w:rPr>
      <w:rFonts w:ascii="黑体" w:hAnsi="黑体" w:eastAsia="黑体" w:cs="黑体"/>
      <w:b/>
      <w:bCs/>
      <w:sz w:val="21"/>
      <w:szCs w:val="21"/>
      <w:lang w:val="ca-ES" w:eastAsia="ca-ES" w:bidi="ca-E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黑体" w:hAnsi="黑体" w:eastAsia="黑体" w:cs="黑体"/>
      <w:sz w:val="20"/>
      <w:szCs w:val="20"/>
      <w:lang w:val="ca-ES" w:eastAsia="ca-ES" w:bidi="ca-ES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927" w:hanging="361"/>
    </w:pPr>
    <w:rPr>
      <w:rFonts w:ascii="黑体" w:hAnsi="黑体" w:eastAsia="黑体" w:cs="黑体"/>
      <w:lang w:val="ca-ES" w:eastAsia="ca-ES" w:bidi="ca-ES"/>
    </w:rPr>
  </w:style>
  <w:style w:type="paragraph" w:customStyle="1" w:styleId="10">
    <w:name w:val="Table Paragraph"/>
    <w:basedOn w:val="1"/>
    <w:qFormat/>
    <w:uiPriority w:val="1"/>
    <w:pPr>
      <w:spacing w:before="71"/>
      <w:ind w:left="107"/>
    </w:pPr>
    <w:rPr>
      <w:rFonts w:ascii="Arial" w:hAnsi="Arial" w:eastAsia="Arial" w:cs="Arial"/>
      <w:lang w:val="ca-ES" w:eastAsia="ca-ES" w:bidi="ca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1027"/>
    <customShpInfo spid="_x0000_s1026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2020-07-26T11:02:00Z</dcterms:created>
  <dc:creator>微软用户</dc:creator>
  <cp:lastModifiedBy>李平</cp:lastModifiedBy>
  <dcterms:modified xsi:type="dcterms:W3CDTF">2020-07-26T11:05:45Z</dcterms:modified>
  <dc:title>Microsoft Word - siRNA使用说明-Biomics.doc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2013-12-31T00:00:00Z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2020-07-26T00:00:00Z</vt:filetime>
  </property>
  <property fmtid="{D5CDD505-2E9C-101B-9397-08002B2CF9AE}" pid="5" name="KSOProductBuildVer">
    <vt:lpwstr>2052-11.1.0.9739</vt:lpwstr>
  </property>
</Properties>
</file>